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default" w:ascii="微软雅黑" w:hAnsi="微软雅黑" w:eastAsia="微软雅黑"/>
          <w:sz w:val="32"/>
          <w:szCs w:val="32"/>
          <w:lang w:val="en-US" w:eastAsia="zh-CN"/>
        </w:rPr>
      </w:pPr>
      <w:r>
        <w:rPr>
          <w:rFonts w:hint="eastAsia" w:ascii="微软雅黑" w:hAnsi="微软雅黑" w:eastAsia="微软雅黑" w:cs="Arial"/>
          <w:color w:val="000000"/>
          <w:sz w:val="36"/>
          <w:szCs w:val="36"/>
          <w:shd w:val="clear" w:color="auto" w:fill="FFFFFF"/>
          <w:lang w:val="en-US" w:eastAsia="zh-CN"/>
        </w:rPr>
        <w:t>银河期货有限公司基金</w:t>
      </w:r>
      <w:r>
        <w:rPr>
          <w:rFonts w:ascii="微软雅黑" w:hAnsi="微软雅黑" w:eastAsia="微软雅黑" w:cs="Arial"/>
          <w:color w:val="000000"/>
          <w:sz w:val="36"/>
          <w:szCs w:val="36"/>
          <w:shd w:val="clear" w:color="auto" w:fill="FFFFFF"/>
        </w:rPr>
        <w:t>投资</w:t>
      </w:r>
      <w:r>
        <w:rPr>
          <w:rFonts w:hint="eastAsia" w:ascii="微软雅黑" w:hAnsi="微软雅黑" w:eastAsia="微软雅黑" w:cs="Arial"/>
          <w:color w:val="000000"/>
          <w:sz w:val="36"/>
          <w:szCs w:val="36"/>
          <w:shd w:val="clear" w:color="auto" w:fill="FFFFFF"/>
          <w:lang w:val="en-US" w:eastAsia="zh-CN"/>
        </w:rPr>
        <w:t>者适当性评估标准</w:t>
      </w:r>
    </w:p>
    <w:p>
      <w:pPr>
        <w:widowControl/>
        <w:numPr>
          <w:ilvl w:val="0"/>
          <w:numId w:val="0"/>
        </w:numPr>
        <w:ind w:firstLine="420" w:firstLineChars="200"/>
        <w:jc w:val="left"/>
        <w:rPr>
          <w:rFonts w:hint="eastAsia" w:ascii="微软雅黑" w:hAnsi="微软雅黑" w:eastAsia="微软雅黑" w:cstheme="minorBidi"/>
          <w:sz w:val="21"/>
          <w:szCs w:val="22"/>
          <w:highlight w:val="none"/>
        </w:rPr>
      </w:pPr>
      <w:r>
        <w:rPr>
          <w:rFonts w:hint="eastAsia" w:ascii="微软雅黑" w:hAnsi="微软雅黑" w:eastAsia="微软雅黑"/>
          <w:lang w:val="en-US" w:eastAsia="zh-CN"/>
        </w:rPr>
        <w:t>本</w:t>
      </w:r>
      <w:r>
        <w:rPr>
          <w:rFonts w:ascii="微软雅黑" w:hAnsi="微软雅黑" w:eastAsia="微软雅黑"/>
        </w:rPr>
        <w:t>公司根据</w:t>
      </w:r>
      <w:r>
        <w:rPr>
          <w:rFonts w:hint="eastAsia" w:ascii="微软雅黑" w:hAnsi="微软雅黑" w:eastAsia="微软雅黑"/>
        </w:rPr>
        <w:t>中国证券监督管理委员会</w:t>
      </w:r>
      <w:r>
        <w:rPr>
          <w:rFonts w:ascii="微软雅黑" w:hAnsi="微软雅黑" w:eastAsia="微软雅黑"/>
        </w:rPr>
        <w:t>颁发的《证券投资基金销售适用性指导意见》、《证券期货投资者适当性管理办法》及</w:t>
      </w:r>
      <w:r>
        <w:rPr>
          <w:rFonts w:hint="eastAsia" w:ascii="微软雅黑" w:hAnsi="微软雅黑" w:eastAsia="微软雅黑"/>
          <w:lang w:val="en-US" w:eastAsia="zh-CN"/>
        </w:rPr>
        <w:t>中国证券投资</w:t>
      </w:r>
      <w:r>
        <w:rPr>
          <w:rFonts w:ascii="微软雅黑" w:hAnsi="微软雅黑" w:eastAsia="微软雅黑"/>
        </w:rPr>
        <w:t>基金业协会发布的《基金募集机构投资者适当性管理实施指引（试行）》，制定了</w:t>
      </w:r>
      <w:r>
        <w:rPr>
          <w:rFonts w:hint="eastAsia" w:ascii="微软雅黑" w:hAnsi="微软雅黑" w:eastAsia="微软雅黑"/>
          <w:lang w:val="en-US" w:eastAsia="zh-CN"/>
        </w:rPr>
        <w:t>基金</w:t>
      </w:r>
      <w:r>
        <w:rPr>
          <w:rFonts w:ascii="微软雅黑" w:hAnsi="微软雅黑" w:eastAsia="微软雅黑"/>
        </w:rPr>
        <w:t>投资者</w:t>
      </w:r>
      <w:r>
        <w:rPr>
          <w:rFonts w:hint="eastAsia" w:ascii="微软雅黑" w:hAnsi="微软雅黑" w:eastAsia="微软雅黑"/>
        </w:rPr>
        <w:t>适当性评估</w:t>
      </w:r>
      <w:r>
        <w:rPr>
          <w:rFonts w:ascii="微软雅黑" w:hAnsi="微软雅黑" w:eastAsia="微软雅黑"/>
        </w:rPr>
        <w:t>流程</w:t>
      </w:r>
      <w:r>
        <w:rPr>
          <w:rFonts w:hint="eastAsia" w:ascii="微软雅黑" w:hAnsi="微软雅黑" w:eastAsia="微软雅黑"/>
          <w:lang w:val="en-US" w:eastAsia="zh-CN"/>
        </w:rPr>
        <w:t>及标准</w:t>
      </w:r>
      <w:r>
        <w:rPr>
          <w:rFonts w:hint="eastAsia" w:ascii="微软雅黑" w:hAnsi="微软雅黑" w:eastAsia="微软雅黑"/>
          <w:lang w:eastAsia="zh-CN"/>
        </w:rPr>
        <w:t>。</w:t>
      </w:r>
    </w:p>
    <w:p>
      <w:pPr>
        <w:widowControl/>
        <w:ind w:firstLine="420" w:firstLineChars="200"/>
        <w:jc w:val="left"/>
        <w:rPr>
          <w:rFonts w:hint="default" w:ascii="微软雅黑" w:hAnsi="微软雅黑" w:eastAsia="微软雅黑"/>
          <w:b/>
          <w:sz w:val="28"/>
          <w:szCs w:val="28"/>
          <w:lang w:val="en-US" w:eastAsia="zh-CN"/>
        </w:rPr>
      </w:pPr>
      <w:r>
        <w:rPr>
          <w:rFonts w:hint="eastAsia" w:ascii="微软雅黑" w:hAnsi="微软雅黑" w:eastAsia="微软雅黑" w:cstheme="minorBidi"/>
          <w:sz w:val="21"/>
          <w:szCs w:val="22"/>
          <w:highlight w:val="none"/>
        </w:rPr>
        <w:t>本公司将投资者分为普通投资者和专业投资者</w:t>
      </w:r>
      <w:r>
        <w:rPr>
          <w:rFonts w:hint="eastAsia" w:ascii="微软雅黑" w:hAnsi="微软雅黑" w:eastAsia="微软雅黑" w:cstheme="minorBidi"/>
          <w:snapToGrid/>
          <w:spacing w:val="0"/>
          <w:kern w:val="2"/>
          <w:sz w:val="21"/>
          <w:szCs w:val="22"/>
          <w:highlight w:val="none"/>
          <w:lang w:val="en-US" w:eastAsia="zh-CN" w:bidi="ar"/>
        </w:rPr>
        <w:t>。</w:t>
      </w:r>
      <w:r>
        <w:rPr>
          <w:rFonts w:hint="eastAsia" w:ascii="微软雅黑" w:hAnsi="微软雅黑" w:eastAsia="微软雅黑" w:cstheme="minorBidi"/>
          <w:sz w:val="21"/>
          <w:szCs w:val="22"/>
          <w:highlight w:val="none"/>
          <w:lang w:val="en-US" w:eastAsia="zh-CN"/>
        </w:rPr>
        <w:t>符合《</w:t>
      </w:r>
      <w:r>
        <w:rPr>
          <w:rFonts w:hint="eastAsia" w:ascii="微软雅黑" w:hAnsi="微软雅黑" w:eastAsia="微软雅黑" w:cstheme="minorBidi"/>
          <w:i w:val="0"/>
          <w:iCs w:val="0"/>
          <w:caps w:val="0"/>
          <w:spacing w:val="0"/>
          <w:kern w:val="2"/>
          <w:sz w:val="21"/>
          <w:szCs w:val="22"/>
          <w:highlight w:val="none"/>
          <w:shd w:val="clear"/>
          <w:lang w:val="en-US" w:eastAsia="zh-CN" w:bidi="ar"/>
        </w:rPr>
        <w:t>证券期货投资者适当性管理办法</w:t>
      </w:r>
      <w:r>
        <w:rPr>
          <w:rFonts w:hint="eastAsia" w:ascii="微软雅黑" w:hAnsi="微软雅黑" w:eastAsia="微软雅黑" w:cstheme="minorBidi"/>
          <w:sz w:val="21"/>
          <w:szCs w:val="22"/>
          <w:highlight w:val="none"/>
          <w:lang w:val="en-US" w:eastAsia="zh-CN"/>
        </w:rPr>
        <w:t>》第八条要求的投资者为专业投资者，可购买或接受所有风险等级的基金产品或者服务；</w:t>
      </w:r>
      <w:r>
        <w:rPr>
          <w:rFonts w:hint="eastAsia" w:ascii="微软雅黑" w:hAnsi="微软雅黑" w:eastAsia="微软雅黑" w:cstheme="minorBidi"/>
          <w:i w:val="0"/>
          <w:iCs w:val="0"/>
          <w:caps w:val="0"/>
          <w:spacing w:val="0"/>
          <w:sz w:val="21"/>
          <w:szCs w:val="22"/>
          <w:highlight w:val="none"/>
          <w:shd w:val="clear"/>
          <w:lang w:bidi="ar"/>
        </w:rPr>
        <w:t>专业投资者之外的，符合法律</w:t>
      </w:r>
      <w:r>
        <w:rPr>
          <w:rFonts w:hint="eastAsia" w:ascii="微软雅黑" w:hAnsi="微软雅黑" w:eastAsia="微软雅黑" w:cstheme="minorBidi"/>
          <w:i w:val="0"/>
          <w:iCs w:val="0"/>
          <w:caps w:val="0"/>
          <w:spacing w:val="0"/>
          <w:sz w:val="21"/>
          <w:szCs w:val="22"/>
          <w:highlight w:val="none"/>
          <w:shd w:val="clear"/>
          <w:lang w:eastAsia="zh-CN" w:bidi="ar"/>
        </w:rPr>
        <w:t>、</w:t>
      </w:r>
      <w:r>
        <w:rPr>
          <w:rFonts w:hint="eastAsia" w:ascii="微软雅黑" w:hAnsi="微软雅黑" w:eastAsia="微软雅黑" w:cstheme="minorBidi"/>
          <w:i w:val="0"/>
          <w:iCs w:val="0"/>
          <w:caps w:val="0"/>
          <w:spacing w:val="0"/>
          <w:sz w:val="21"/>
          <w:szCs w:val="22"/>
          <w:highlight w:val="none"/>
          <w:shd w:val="clear"/>
          <w:lang w:bidi="ar"/>
        </w:rPr>
        <w:t>法规要求，可以从事基金交易活动的投资者为普通投资者。</w:t>
      </w:r>
      <w:r>
        <w:rPr>
          <w:rFonts w:hint="eastAsia" w:ascii="微软雅黑" w:hAnsi="微软雅黑" w:eastAsia="微软雅黑" w:cstheme="minorBidi"/>
          <w:i w:val="0"/>
          <w:iCs w:val="0"/>
          <w:caps w:val="0"/>
          <w:spacing w:val="0"/>
          <w:sz w:val="21"/>
          <w:szCs w:val="22"/>
          <w:highlight w:val="none"/>
          <w:shd w:val="clear"/>
          <w:lang w:val="en-US" w:eastAsia="zh-CN" w:bidi="ar"/>
        </w:rPr>
        <w:t>普通投资者风险承受能力评估标准及其与基金产品或服务风险等级的匹配原则具体如下：</w:t>
      </w:r>
    </w:p>
    <w:p>
      <w:pPr>
        <w:numPr>
          <w:ilvl w:val="0"/>
          <w:numId w:val="1"/>
        </w:numPr>
        <w:rPr>
          <w:rFonts w:hint="eastAsia" w:ascii="微软雅黑" w:hAnsi="微软雅黑" w:eastAsia="微软雅黑"/>
          <w:b/>
          <w:sz w:val="28"/>
          <w:szCs w:val="28"/>
          <w:highlight w:val="none"/>
          <w:lang w:val="en-US" w:eastAsia="zh-CN"/>
        </w:rPr>
      </w:pPr>
      <w:r>
        <w:rPr>
          <w:rFonts w:hint="eastAsia" w:ascii="微软雅黑" w:hAnsi="微软雅黑" w:eastAsia="微软雅黑"/>
          <w:b/>
          <w:sz w:val="28"/>
          <w:szCs w:val="28"/>
          <w:lang w:val="en-US" w:eastAsia="zh-CN"/>
        </w:rPr>
        <w:t>普通</w:t>
      </w:r>
      <w:r>
        <w:rPr>
          <w:rFonts w:ascii="微软雅黑" w:hAnsi="微软雅黑" w:eastAsia="微软雅黑"/>
          <w:b/>
          <w:sz w:val="28"/>
          <w:szCs w:val="28"/>
          <w:highlight w:val="none"/>
        </w:rPr>
        <w:t>投资</w:t>
      </w:r>
      <w:r>
        <w:rPr>
          <w:rFonts w:hint="eastAsia" w:ascii="微软雅黑" w:hAnsi="微软雅黑" w:eastAsia="微软雅黑"/>
          <w:b/>
          <w:sz w:val="28"/>
          <w:szCs w:val="28"/>
          <w:highlight w:val="none"/>
          <w:lang w:val="en-US" w:eastAsia="zh-CN"/>
        </w:rPr>
        <w:t>者</w:t>
      </w:r>
      <w:r>
        <w:rPr>
          <w:rFonts w:ascii="微软雅黑" w:hAnsi="微软雅黑" w:eastAsia="微软雅黑"/>
          <w:b/>
          <w:sz w:val="28"/>
          <w:szCs w:val="28"/>
          <w:highlight w:val="none"/>
        </w:rPr>
        <w:t>风险承受能力</w:t>
      </w:r>
      <w:r>
        <w:rPr>
          <w:rFonts w:hint="eastAsia" w:ascii="微软雅黑" w:hAnsi="微软雅黑" w:eastAsia="微软雅黑"/>
          <w:b/>
          <w:sz w:val="28"/>
          <w:szCs w:val="28"/>
          <w:highlight w:val="none"/>
          <w:lang w:val="en-US" w:eastAsia="zh-CN"/>
        </w:rPr>
        <w:t>评估标准</w:t>
      </w:r>
    </w:p>
    <w:p>
      <w:pPr>
        <w:ind w:firstLine="420" w:firstLineChars="200"/>
        <w:rPr>
          <w:rFonts w:ascii="微软雅黑" w:hAnsi="微软雅黑" w:eastAsia="微软雅黑"/>
        </w:rPr>
      </w:pPr>
      <w:r>
        <w:rPr>
          <w:rFonts w:hint="eastAsia" w:ascii="微软雅黑" w:hAnsi="微软雅黑" w:eastAsia="微软雅黑"/>
          <w:lang w:val="en-US" w:eastAsia="zh-CN"/>
        </w:rPr>
        <w:t>本</w:t>
      </w:r>
      <w:r>
        <w:rPr>
          <w:rFonts w:ascii="微软雅黑" w:hAnsi="微软雅黑" w:eastAsia="微软雅黑"/>
        </w:rPr>
        <w:t>公司向</w:t>
      </w:r>
      <w:r>
        <w:rPr>
          <w:rFonts w:hint="eastAsia" w:ascii="微软雅黑" w:hAnsi="微软雅黑" w:eastAsia="微软雅黑"/>
          <w:lang w:val="en-US" w:eastAsia="zh-CN"/>
        </w:rPr>
        <w:t>普通</w:t>
      </w:r>
      <w:r>
        <w:rPr>
          <w:rFonts w:ascii="微软雅黑" w:hAnsi="微软雅黑" w:eastAsia="微软雅黑"/>
        </w:rPr>
        <w:t>投资者销售</w:t>
      </w:r>
      <w:r>
        <w:rPr>
          <w:rFonts w:hint="eastAsia" w:ascii="微软雅黑" w:hAnsi="微软雅黑" w:eastAsia="微软雅黑"/>
        </w:rPr>
        <w:t>基金</w:t>
      </w:r>
      <w:r>
        <w:rPr>
          <w:rFonts w:ascii="微软雅黑" w:hAnsi="微软雅黑" w:eastAsia="微软雅黑"/>
        </w:rPr>
        <w:t>产品或者提供服务时，</w:t>
      </w:r>
      <w:r>
        <w:rPr>
          <w:rFonts w:hint="eastAsia" w:ascii="微软雅黑" w:hAnsi="微软雅黑" w:eastAsia="微软雅黑"/>
          <w:lang w:val="en-US" w:eastAsia="zh-CN"/>
        </w:rPr>
        <w:t>将根据自然人投资者、机构投资者的各自特点，向投资者提供具有针对性的投资者基本信息表，并对其进行风险承受能力评估；本公司主要</w:t>
      </w:r>
      <w:r>
        <w:rPr>
          <w:rFonts w:ascii="微软雅黑" w:hAnsi="微软雅黑" w:eastAsia="微软雅黑"/>
        </w:rPr>
        <w:t>了解投资者的下列信息：</w:t>
      </w:r>
    </w:p>
    <w:p>
      <w:pPr>
        <w:numPr>
          <w:ilvl w:val="0"/>
          <w:numId w:val="2"/>
        </w:numPr>
        <w:ind w:firstLine="420" w:firstLineChars="200"/>
        <w:rPr>
          <w:rFonts w:ascii="微软雅黑" w:hAnsi="微软雅黑" w:eastAsia="微软雅黑"/>
        </w:rPr>
      </w:pPr>
      <w:r>
        <w:rPr>
          <w:rFonts w:ascii="微软雅黑" w:hAnsi="微软雅黑" w:eastAsia="微软雅黑"/>
        </w:rPr>
        <w:t>自然人的姓名、住址、职业、年龄、联系方式、有效身份证件、出生日期、性别、国籍，法人或者其他组织的名称、注册地址、办公地址、性质、资质及经营范围等基本信息；</w:t>
      </w:r>
    </w:p>
    <w:p>
      <w:pPr>
        <w:numPr>
          <w:ilvl w:val="0"/>
          <w:numId w:val="2"/>
        </w:numPr>
        <w:ind w:firstLine="420" w:firstLineChars="200"/>
        <w:rPr>
          <w:rFonts w:ascii="微软雅黑" w:hAnsi="微软雅黑" w:eastAsia="微软雅黑"/>
        </w:rPr>
      </w:pPr>
      <w:r>
        <w:rPr>
          <w:rFonts w:ascii="微软雅黑" w:hAnsi="微软雅黑" w:eastAsia="微软雅黑"/>
        </w:rPr>
        <w:t>收入来源和数额、资产、债务等财务状况；</w:t>
      </w:r>
    </w:p>
    <w:p>
      <w:pPr>
        <w:numPr>
          <w:ilvl w:val="0"/>
          <w:numId w:val="2"/>
        </w:numPr>
        <w:ind w:firstLine="420" w:firstLineChars="200"/>
        <w:rPr>
          <w:rFonts w:ascii="微软雅黑" w:hAnsi="微软雅黑" w:eastAsia="微软雅黑"/>
        </w:rPr>
      </w:pPr>
      <w:r>
        <w:rPr>
          <w:rFonts w:ascii="微软雅黑" w:hAnsi="微软雅黑" w:eastAsia="微软雅黑"/>
        </w:rPr>
        <w:t>投资相关的学习、工作经历及投资经验；</w:t>
      </w:r>
    </w:p>
    <w:p>
      <w:pPr>
        <w:numPr>
          <w:ilvl w:val="0"/>
          <w:numId w:val="2"/>
        </w:numPr>
        <w:ind w:firstLine="420" w:firstLineChars="200"/>
        <w:rPr>
          <w:rFonts w:ascii="微软雅黑" w:hAnsi="微软雅黑" w:eastAsia="微软雅黑"/>
        </w:rPr>
      </w:pPr>
      <w:r>
        <w:rPr>
          <w:rFonts w:ascii="微软雅黑" w:hAnsi="微软雅黑" w:eastAsia="微软雅黑"/>
        </w:rPr>
        <w:t>投资期限、品种、期望收益等投资目标；</w:t>
      </w:r>
    </w:p>
    <w:p>
      <w:pPr>
        <w:numPr>
          <w:ilvl w:val="0"/>
          <w:numId w:val="2"/>
        </w:numPr>
        <w:ind w:firstLine="420" w:firstLineChars="200"/>
        <w:rPr>
          <w:rFonts w:ascii="微软雅黑" w:hAnsi="微软雅黑" w:eastAsia="微软雅黑"/>
        </w:rPr>
      </w:pPr>
      <w:r>
        <w:rPr>
          <w:rFonts w:ascii="微软雅黑" w:hAnsi="微软雅黑" w:eastAsia="微软雅黑"/>
        </w:rPr>
        <w:t>风险偏好及可承受的损失；</w:t>
      </w:r>
    </w:p>
    <w:p>
      <w:pPr>
        <w:numPr>
          <w:ilvl w:val="0"/>
          <w:numId w:val="2"/>
        </w:numPr>
        <w:ind w:firstLine="420" w:firstLineChars="200"/>
        <w:rPr>
          <w:rFonts w:ascii="微软雅黑" w:hAnsi="微软雅黑" w:eastAsia="微软雅黑"/>
        </w:rPr>
      </w:pPr>
      <w:r>
        <w:rPr>
          <w:rFonts w:ascii="微软雅黑" w:hAnsi="微软雅黑" w:eastAsia="微软雅黑"/>
        </w:rPr>
        <w:t xml:space="preserve">诚信记录； </w:t>
      </w:r>
    </w:p>
    <w:p>
      <w:pPr>
        <w:numPr>
          <w:ilvl w:val="0"/>
          <w:numId w:val="2"/>
        </w:numPr>
        <w:ind w:firstLine="420" w:firstLineChars="200"/>
        <w:rPr>
          <w:rFonts w:ascii="微软雅黑" w:hAnsi="微软雅黑" w:eastAsia="微软雅黑"/>
        </w:rPr>
      </w:pPr>
      <w:r>
        <w:rPr>
          <w:rFonts w:ascii="微软雅黑" w:hAnsi="微软雅黑" w:eastAsia="微软雅黑"/>
        </w:rPr>
        <w:t>实际控制投资者的自然人和交易的实际受益人；</w:t>
      </w:r>
    </w:p>
    <w:p>
      <w:pPr>
        <w:numPr>
          <w:ilvl w:val="0"/>
          <w:numId w:val="2"/>
        </w:numPr>
        <w:ind w:firstLine="420" w:firstLineChars="200"/>
        <w:rPr>
          <w:rFonts w:ascii="微软雅黑" w:hAnsi="微软雅黑" w:eastAsia="微软雅黑"/>
        </w:rPr>
      </w:pPr>
      <w:r>
        <w:rPr>
          <w:rFonts w:ascii="微软雅黑" w:hAnsi="微软雅黑" w:eastAsia="微软雅黑"/>
        </w:rPr>
        <w:t>法律法规、自律规则规定的投资者准入要求相关信息；</w:t>
      </w:r>
    </w:p>
    <w:p>
      <w:pPr>
        <w:numPr>
          <w:ilvl w:val="0"/>
          <w:numId w:val="2"/>
        </w:numPr>
        <w:ind w:firstLine="420" w:firstLineChars="200"/>
        <w:rPr>
          <w:rFonts w:ascii="微软雅黑" w:hAnsi="微软雅黑" w:eastAsia="微软雅黑"/>
        </w:rPr>
      </w:pPr>
      <w:r>
        <w:rPr>
          <w:rFonts w:ascii="微软雅黑" w:hAnsi="微软雅黑" w:eastAsia="微软雅黑"/>
        </w:rPr>
        <w:t>其他必要信息。</w:t>
      </w:r>
    </w:p>
    <w:p>
      <w:pPr>
        <w:numPr>
          <w:ilvl w:val="0"/>
          <w:numId w:val="0"/>
        </w:numPr>
        <w:ind w:firstLine="420" w:firstLineChars="200"/>
        <w:rPr>
          <w:rFonts w:hint="eastAsia" w:ascii="微软雅黑" w:hAnsi="微软雅黑" w:eastAsia="微软雅黑"/>
          <w:lang w:val="en-US" w:eastAsia="zh-CN"/>
        </w:rPr>
      </w:pPr>
      <w:r>
        <w:rPr>
          <w:rFonts w:hint="eastAsia" w:ascii="微软雅黑" w:hAnsi="微软雅黑" w:eastAsia="微软雅黑" w:cstheme="minorBidi"/>
          <w:i w:val="0"/>
          <w:iCs w:val="0"/>
          <w:caps w:val="0"/>
          <w:spacing w:val="0"/>
          <w:sz w:val="21"/>
          <w:szCs w:val="22"/>
          <w:shd w:val="clear"/>
          <w:lang w:val="en-US" w:eastAsia="zh-CN" w:bidi="ar"/>
        </w:rPr>
        <w:t>本</w:t>
      </w:r>
      <w:r>
        <w:rPr>
          <w:rFonts w:hint="eastAsia" w:ascii="微软雅黑" w:hAnsi="微软雅黑" w:eastAsia="微软雅黑" w:cstheme="minorBidi"/>
          <w:i w:val="0"/>
          <w:iCs w:val="0"/>
          <w:caps w:val="0"/>
          <w:spacing w:val="0"/>
          <w:sz w:val="21"/>
          <w:szCs w:val="22"/>
          <w:shd w:val="clear"/>
          <w:lang w:bidi="ar"/>
        </w:rPr>
        <w:t>公司</w:t>
      </w:r>
      <w:r>
        <w:rPr>
          <w:rFonts w:hint="eastAsia" w:ascii="微软雅黑" w:hAnsi="微软雅黑" w:eastAsia="微软雅黑" w:cstheme="minorBidi"/>
          <w:i w:val="0"/>
          <w:iCs w:val="0"/>
          <w:caps w:val="0"/>
          <w:spacing w:val="0"/>
          <w:sz w:val="21"/>
          <w:szCs w:val="22"/>
          <w:shd w:val="clear"/>
          <w:lang w:val="en-US" w:eastAsia="zh-CN" w:bidi="ar"/>
        </w:rPr>
        <w:t>采用向普通投资者提供纸质或者电子文档风险测评</w:t>
      </w:r>
      <w:r>
        <w:rPr>
          <w:rFonts w:ascii="微软雅黑" w:hAnsi="微软雅黑" w:eastAsia="微软雅黑"/>
        </w:rPr>
        <w:t>问卷</w:t>
      </w:r>
      <w:r>
        <w:rPr>
          <w:rFonts w:hint="eastAsia" w:ascii="微软雅黑" w:hAnsi="微软雅黑" w:eastAsia="微软雅黑"/>
          <w:lang w:val="en-US" w:eastAsia="zh-CN"/>
        </w:rPr>
        <w:t>的形式，</w:t>
      </w:r>
      <w:r>
        <w:rPr>
          <w:rFonts w:ascii="微软雅黑" w:hAnsi="微软雅黑" w:eastAsia="微软雅黑"/>
        </w:rPr>
        <w:t>对</w:t>
      </w:r>
      <w:r>
        <w:rPr>
          <w:rFonts w:hint="eastAsia" w:ascii="微软雅黑" w:hAnsi="微软雅黑" w:eastAsia="微软雅黑"/>
          <w:lang w:val="en-US" w:eastAsia="zh-CN"/>
        </w:rPr>
        <w:t>其</w:t>
      </w:r>
      <w:r>
        <w:rPr>
          <w:rFonts w:ascii="微软雅黑" w:hAnsi="微软雅黑" w:eastAsia="微软雅黑"/>
        </w:rPr>
        <w:t>风险承受能力进行</w:t>
      </w:r>
      <w:r>
        <w:rPr>
          <w:rFonts w:hint="eastAsia" w:ascii="微软雅黑" w:hAnsi="微软雅黑" w:eastAsia="微软雅黑"/>
          <w:lang w:val="en-US" w:eastAsia="zh-CN"/>
        </w:rPr>
        <w:t>测试。</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auto"/>
        <w:spacing w:before="0" w:beforeAutospacing="0" w:after="0" w:afterAutospacing="0"/>
        <w:ind w:left="0" w:right="0" w:firstLine="420" w:firstLineChars="200"/>
        <w:jc w:val="left"/>
        <w:rPr>
          <w:rFonts w:hint="eastAsia" w:ascii="微软雅黑" w:hAnsi="微软雅黑" w:eastAsia="微软雅黑" w:cstheme="minorBidi"/>
          <w:i w:val="0"/>
          <w:iCs w:val="0"/>
          <w:caps w:val="0"/>
          <w:spacing w:val="0"/>
          <w:kern w:val="2"/>
          <w:sz w:val="21"/>
          <w:szCs w:val="22"/>
          <w:shd w:val="clear"/>
          <w:lang w:val="en-US" w:eastAsia="zh-CN" w:bidi="ar"/>
        </w:rPr>
      </w:pPr>
      <w:r>
        <w:rPr>
          <w:rFonts w:hint="eastAsia" w:ascii="微软雅黑" w:hAnsi="微软雅黑" w:eastAsia="微软雅黑" w:cstheme="minorBidi"/>
          <w:i w:val="0"/>
          <w:iCs w:val="0"/>
          <w:caps w:val="0"/>
          <w:spacing w:val="0"/>
          <w:kern w:val="2"/>
          <w:sz w:val="21"/>
          <w:szCs w:val="22"/>
          <w:shd w:val="clear"/>
          <w:lang w:val="en-US" w:eastAsia="zh-CN" w:bidi="ar"/>
        </w:rPr>
        <w:t>本公司将</w:t>
      </w:r>
      <w:r>
        <w:rPr>
          <w:rFonts w:hint="eastAsia" w:ascii="微软雅黑" w:hAnsi="微软雅黑" w:eastAsia="微软雅黑" w:cstheme="minorBidi"/>
          <w:i w:val="0"/>
          <w:iCs w:val="0"/>
          <w:caps w:val="0"/>
          <w:spacing w:val="0"/>
          <w:kern w:val="2"/>
          <w:sz w:val="21"/>
          <w:szCs w:val="22"/>
          <w:highlight w:val="none"/>
          <w:shd w:val="clear"/>
          <w:lang w:val="en-US" w:eastAsia="zh-CN" w:bidi="ar"/>
        </w:rPr>
        <w:t>根据投资者基本信息表、风险测评问卷以及其他相关资</w:t>
      </w:r>
      <w:r>
        <w:rPr>
          <w:rFonts w:hint="default" w:ascii="微软雅黑" w:hAnsi="微软雅黑" w:eastAsia="微软雅黑" w:cstheme="minorBidi"/>
          <w:i w:val="0"/>
          <w:iCs w:val="0"/>
          <w:caps w:val="0"/>
          <w:spacing w:val="0"/>
          <w:kern w:val="2"/>
          <w:sz w:val="21"/>
          <w:szCs w:val="22"/>
          <w:highlight w:val="none"/>
          <w:shd w:val="clear"/>
          <w:lang w:val="en-US" w:eastAsia="zh-CN" w:bidi="ar"/>
        </w:rPr>
        <w:t>料，对普通投资者风险承受能力进行综合评估</w:t>
      </w:r>
      <w:r>
        <w:rPr>
          <w:rFonts w:hint="eastAsia" w:ascii="微软雅黑" w:hAnsi="微软雅黑" w:eastAsia="微软雅黑" w:cstheme="minorBidi"/>
          <w:i w:val="0"/>
          <w:iCs w:val="0"/>
          <w:caps w:val="0"/>
          <w:spacing w:val="0"/>
          <w:kern w:val="2"/>
          <w:sz w:val="21"/>
          <w:szCs w:val="22"/>
          <w:highlight w:val="none"/>
          <w:shd w:val="clear"/>
          <w:lang w:val="en-US" w:eastAsia="zh-CN" w:bidi="ar"/>
        </w:rPr>
        <w:t>，</w:t>
      </w:r>
      <w:r>
        <w:rPr>
          <w:rFonts w:ascii="微软雅黑" w:hAnsi="微软雅黑" w:eastAsia="微软雅黑" w:cstheme="minorBidi"/>
          <w:i w:val="0"/>
          <w:iCs w:val="0"/>
          <w:caps w:val="0"/>
          <w:spacing w:val="0"/>
          <w:kern w:val="2"/>
          <w:sz w:val="21"/>
          <w:szCs w:val="22"/>
          <w:highlight w:val="none"/>
          <w:shd w:val="clear"/>
        </w:rPr>
        <w:t>并在评估工作结</w:t>
      </w:r>
      <w:r>
        <w:rPr>
          <w:rFonts w:hint="default" w:ascii="微软雅黑" w:hAnsi="微软雅黑" w:eastAsia="微软雅黑" w:cstheme="minorBidi"/>
          <w:i w:val="0"/>
          <w:iCs w:val="0"/>
          <w:caps w:val="0"/>
          <w:spacing w:val="0"/>
          <w:kern w:val="2"/>
          <w:sz w:val="21"/>
          <w:szCs w:val="22"/>
          <w:highlight w:val="none"/>
          <w:shd w:val="clear"/>
        </w:rPr>
        <w:t>束之日起</w:t>
      </w:r>
      <w:r>
        <w:rPr>
          <w:rFonts w:hint="default" w:ascii="微软雅黑" w:hAnsi="微软雅黑" w:eastAsia="微软雅黑" w:cstheme="minorBidi"/>
          <w:i w:val="0"/>
          <w:iCs w:val="0"/>
          <w:caps w:val="0"/>
          <w:spacing w:val="0"/>
          <w:kern w:val="2"/>
          <w:sz w:val="21"/>
          <w:szCs w:val="22"/>
          <w:highlight w:val="none"/>
          <w:shd w:val="clear"/>
          <w:lang w:val="en-US" w:eastAsia="zh-CN"/>
        </w:rPr>
        <w:t>5</w:t>
      </w:r>
      <w:r>
        <w:rPr>
          <w:rFonts w:hint="default" w:ascii="微软雅黑" w:hAnsi="微软雅黑" w:eastAsia="微软雅黑" w:cstheme="minorBidi"/>
          <w:i w:val="0"/>
          <w:iCs w:val="0"/>
          <w:caps w:val="0"/>
          <w:spacing w:val="0"/>
          <w:kern w:val="2"/>
          <w:sz w:val="21"/>
          <w:szCs w:val="22"/>
          <w:highlight w:val="none"/>
          <w:shd w:val="clear"/>
        </w:rPr>
        <w:t>个工作日内，将评估结果告知投资者</w:t>
      </w:r>
      <w:r>
        <w:rPr>
          <w:rFonts w:hint="eastAsia" w:ascii="微软雅黑" w:hAnsi="微软雅黑" w:eastAsia="微软雅黑" w:cstheme="minorBidi"/>
          <w:i w:val="0"/>
          <w:iCs w:val="0"/>
          <w:caps w:val="0"/>
          <w:spacing w:val="0"/>
          <w:kern w:val="2"/>
          <w:sz w:val="21"/>
          <w:szCs w:val="22"/>
          <w:highlight w:val="none"/>
          <w:shd w:val="clear"/>
          <w:lang w:eastAsia="zh-CN"/>
        </w:rPr>
        <w:t>；</w:t>
      </w:r>
      <w:r>
        <w:rPr>
          <w:rFonts w:hint="eastAsia" w:ascii="微软雅黑" w:hAnsi="微软雅黑" w:eastAsia="微软雅黑" w:cstheme="minorBidi"/>
          <w:i w:val="0"/>
          <w:iCs w:val="0"/>
          <w:caps w:val="0"/>
          <w:spacing w:val="0"/>
          <w:kern w:val="2"/>
          <w:sz w:val="21"/>
          <w:szCs w:val="22"/>
          <w:highlight w:val="none"/>
          <w:shd w:val="clear"/>
          <w:lang w:val="en-US" w:eastAsia="zh-CN"/>
        </w:rPr>
        <w:t>风险测评</w:t>
      </w:r>
      <w:r>
        <w:rPr>
          <w:rFonts w:hint="eastAsia" w:ascii="微软雅黑" w:hAnsi="微软雅黑" w:eastAsia="微软雅黑"/>
          <w:lang w:val="en-US" w:eastAsia="zh-CN"/>
        </w:rPr>
        <w:t>问卷由12道选择题组成，评估总分最低为1分，最高为100分，本公司根据评估总分</w:t>
      </w:r>
      <w:r>
        <w:rPr>
          <w:rFonts w:hint="eastAsia" w:ascii="微软雅黑" w:hAnsi="微软雅黑" w:eastAsia="微软雅黑" w:cstheme="minorBidi"/>
          <w:i w:val="0"/>
          <w:iCs w:val="0"/>
          <w:caps w:val="0"/>
          <w:spacing w:val="0"/>
          <w:sz w:val="21"/>
          <w:szCs w:val="22"/>
          <w:shd w:val="clear"/>
          <w:lang w:bidi="ar"/>
        </w:rPr>
        <w:t>将普通投资者按其风险承受能力由低至高顺序，依次划分为：C1（含风险承受能力最低类别）、C2、C3、C4、C5五个类型，相应的风险等级名称是：保守型、稳健型、平衡型、进取型、激进型</w:t>
      </w:r>
      <w:r>
        <w:rPr>
          <w:rFonts w:hint="eastAsia" w:ascii="微软雅黑" w:hAnsi="微软雅黑" w:eastAsia="微软雅黑" w:cstheme="minorBidi"/>
          <w:i w:val="0"/>
          <w:iCs w:val="0"/>
          <w:caps w:val="0"/>
          <w:spacing w:val="0"/>
          <w:kern w:val="2"/>
          <w:sz w:val="21"/>
          <w:szCs w:val="22"/>
          <w:shd w:val="clear"/>
          <w:lang w:val="en-US" w:eastAsia="zh-CN" w:bidi="ar"/>
        </w:rPr>
        <w:t>。</w:t>
      </w:r>
      <w:r>
        <w:rPr>
          <w:rFonts w:hint="eastAsia" w:ascii="微软雅黑" w:hAnsi="微软雅黑" w:eastAsia="微软雅黑" w:cstheme="minorBidi"/>
          <w:i w:val="0"/>
          <w:iCs w:val="0"/>
          <w:caps w:val="0"/>
          <w:spacing w:val="0"/>
          <w:kern w:val="2"/>
          <w:sz w:val="21"/>
          <w:szCs w:val="22"/>
          <w:highlight w:val="none"/>
          <w:shd w:val="clear"/>
          <w:lang w:val="en-US" w:eastAsia="zh-CN" w:bidi="ar"/>
        </w:rPr>
        <w:t>评估结果分数对照表如下：</w:t>
      </w:r>
    </w:p>
    <w:tbl>
      <w:tblPr>
        <w:tblStyle w:val="3"/>
        <w:tblpPr w:leftFromText="180" w:rightFromText="180" w:vertAnchor="text" w:horzAnchor="page" w:tblpX="2068" w:tblpY="253"/>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682"/>
        <w:gridCol w:w="3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682" w:type="dxa"/>
            <w:tcBorders>
              <w:right w:val="single" w:color="000000" w:sz="6" w:space="0"/>
            </w:tcBorders>
            <w:shd w:val="clear" w:color="auto" w:fill="E7E6E6"/>
          </w:tcPr>
          <w:p>
            <w:pPr>
              <w:pStyle w:val="6"/>
              <w:spacing w:before="0"/>
              <w:jc w:val="center"/>
              <w:rPr>
                <w:rFonts w:hint="eastAsia" w:ascii="微软雅黑" w:hAnsi="微软雅黑" w:eastAsia="微软雅黑" w:cs="微软雅黑"/>
                <w:b/>
                <w:sz w:val="18"/>
                <w:szCs w:val="18"/>
              </w:rPr>
            </w:pPr>
            <w:r>
              <w:rPr>
                <w:rFonts w:hint="eastAsia" w:ascii="微软雅黑" w:hAnsi="微软雅黑" w:eastAsia="微软雅黑" w:cs="微软雅黑"/>
                <w:b/>
                <w:sz w:val="18"/>
                <w:szCs w:val="18"/>
              </w:rPr>
              <w:t>风险承受能力等级</w:t>
            </w:r>
          </w:p>
        </w:tc>
        <w:tc>
          <w:tcPr>
            <w:tcW w:w="3550" w:type="dxa"/>
            <w:tcBorders>
              <w:left w:val="single" w:color="000000" w:sz="6" w:space="0"/>
            </w:tcBorders>
            <w:shd w:val="clear" w:color="auto" w:fill="E7E6E6"/>
          </w:tcPr>
          <w:p>
            <w:pPr>
              <w:pStyle w:val="6"/>
              <w:spacing w:before="0"/>
              <w:jc w:val="center"/>
              <w:rPr>
                <w:rFonts w:hint="eastAsia" w:ascii="微软雅黑" w:hAnsi="微软雅黑" w:eastAsia="微软雅黑" w:cs="微软雅黑"/>
                <w:b/>
                <w:sz w:val="18"/>
                <w:szCs w:val="18"/>
              </w:rPr>
            </w:pPr>
            <w:r>
              <w:rPr>
                <w:rFonts w:hint="eastAsia" w:ascii="微软雅黑" w:hAnsi="微软雅黑" w:eastAsia="微软雅黑" w:cs="微软雅黑"/>
                <w:b/>
                <w:sz w:val="18"/>
                <w:szCs w:val="18"/>
              </w:rPr>
              <w:t>评估</w:t>
            </w:r>
            <w:r>
              <w:rPr>
                <w:rFonts w:hint="eastAsia" w:ascii="微软雅黑" w:hAnsi="微软雅黑" w:eastAsia="微软雅黑" w:cs="微软雅黑"/>
                <w:b/>
                <w:sz w:val="18"/>
                <w:szCs w:val="18"/>
                <w:lang w:val="en-US" w:eastAsia="zh-CN"/>
              </w:rPr>
              <w:t>总分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3682" w:type="dxa"/>
            <w:tcBorders>
              <w:right w:val="single" w:color="000000" w:sz="6" w:space="0"/>
            </w:tcBorders>
          </w:tcPr>
          <w:p>
            <w:pPr>
              <w:pStyle w:val="6"/>
              <w:spacing w:before="0"/>
              <w:jc w:val="center"/>
              <w:rPr>
                <w:rFonts w:hint="eastAsia" w:ascii="微软雅黑" w:hAnsi="微软雅黑" w:eastAsia="微软雅黑" w:cs="微软雅黑"/>
                <w:sz w:val="18"/>
                <w:szCs w:val="18"/>
                <w:lang w:val="en-US"/>
              </w:rPr>
            </w:pPr>
            <w:r>
              <w:rPr>
                <w:rFonts w:hint="eastAsia" w:ascii="微软雅黑" w:hAnsi="微软雅黑" w:eastAsia="微软雅黑" w:cs="微软雅黑"/>
                <w:sz w:val="18"/>
                <w:szCs w:val="18"/>
              </w:rPr>
              <w:t xml:space="preserve">C1 </w:t>
            </w:r>
            <w:r>
              <w:rPr>
                <w:rFonts w:hint="eastAsia" w:ascii="微软雅黑" w:hAnsi="微软雅黑" w:eastAsia="微软雅黑" w:cs="微软雅黑"/>
                <w:sz w:val="18"/>
                <w:szCs w:val="18"/>
                <w:lang w:val="en-US"/>
              </w:rPr>
              <w:t>保守型</w:t>
            </w:r>
          </w:p>
        </w:tc>
        <w:tc>
          <w:tcPr>
            <w:tcW w:w="3550" w:type="dxa"/>
            <w:tcBorders>
              <w:left w:val="single" w:color="000000" w:sz="6" w:space="0"/>
            </w:tcBorders>
          </w:tcPr>
          <w:p>
            <w:pPr>
              <w:pStyle w:val="6"/>
              <w:spacing w:before="0"/>
              <w:jc w:val="center"/>
              <w:rPr>
                <w:rFonts w:hint="eastAsia" w:ascii="微软雅黑" w:hAnsi="微软雅黑" w:eastAsia="微软雅黑" w:cs="微软雅黑"/>
                <w:sz w:val="18"/>
                <w:szCs w:val="18"/>
                <w:lang w:val="en-US"/>
              </w:rPr>
            </w:pPr>
            <w:r>
              <w:rPr>
                <w:rFonts w:hint="eastAsia" w:ascii="微软雅黑" w:hAnsi="微软雅黑" w:eastAsia="微软雅黑" w:cs="微软雅黑"/>
                <w:sz w:val="18"/>
                <w:szCs w:val="18"/>
              </w:rPr>
              <w:t>0-</w:t>
            </w:r>
            <w:r>
              <w:rPr>
                <w:rFonts w:hint="eastAsia" w:ascii="微软雅黑" w:hAnsi="微软雅黑" w:eastAsia="微软雅黑" w:cs="微软雅黑"/>
                <w:sz w:val="18"/>
                <w:szCs w:val="18"/>
                <w:lang w:val="en-US"/>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3682" w:type="dxa"/>
            <w:tcBorders>
              <w:right w:val="single" w:color="000000" w:sz="6" w:space="0"/>
            </w:tcBorders>
          </w:tcPr>
          <w:p>
            <w:pPr>
              <w:pStyle w:val="6"/>
              <w:spacing w:before="0"/>
              <w:jc w:val="center"/>
              <w:rPr>
                <w:rFonts w:hint="eastAsia" w:ascii="微软雅黑" w:hAnsi="微软雅黑" w:eastAsia="微软雅黑" w:cs="微软雅黑"/>
                <w:sz w:val="18"/>
                <w:szCs w:val="18"/>
                <w:lang w:val="en-US"/>
              </w:rPr>
            </w:pPr>
            <w:r>
              <w:rPr>
                <w:rFonts w:hint="eastAsia" w:ascii="微软雅黑" w:hAnsi="微软雅黑" w:eastAsia="微软雅黑" w:cs="微软雅黑"/>
                <w:sz w:val="18"/>
                <w:szCs w:val="18"/>
              </w:rPr>
              <w:t xml:space="preserve">C2 </w:t>
            </w:r>
            <w:r>
              <w:rPr>
                <w:rFonts w:hint="eastAsia" w:ascii="微软雅黑" w:hAnsi="微软雅黑" w:eastAsia="微软雅黑" w:cs="微软雅黑"/>
                <w:sz w:val="18"/>
                <w:szCs w:val="18"/>
                <w:lang w:val="en-US"/>
              </w:rPr>
              <w:t>稳健型</w:t>
            </w:r>
          </w:p>
        </w:tc>
        <w:tc>
          <w:tcPr>
            <w:tcW w:w="3550" w:type="dxa"/>
            <w:tcBorders>
              <w:left w:val="single" w:color="000000" w:sz="6" w:space="0"/>
            </w:tcBorders>
          </w:tcPr>
          <w:p>
            <w:pPr>
              <w:pStyle w:val="6"/>
              <w:spacing w:before="0"/>
              <w:jc w:val="center"/>
              <w:rPr>
                <w:rFonts w:hint="eastAsia" w:ascii="微软雅黑" w:hAnsi="微软雅黑" w:eastAsia="微软雅黑" w:cs="微软雅黑"/>
                <w:sz w:val="18"/>
                <w:szCs w:val="18"/>
              </w:rPr>
            </w:pPr>
            <w:r>
              <w:rPr>
                <w:rFonts w:hint="eastAsia" w:ascii="微软雅黑" w:hAnsi="微软雅黑" w:eastAsia="微软雅黑" w:cs="微软雅黑"/>
                <w:sz w:val="18"/>
                <w:szCs w:val="18"/>
                <w:lang w:val="en-US"/>
              </w:rPr>
              <w:t>11</w:t>
            </w:r>
            <w:r>
              <w:rPr>
                <w:rFonts w:hint="eastAsia" w:ascii="微软雅黑" w:hAnsi="微软雅黑" w:eastAsia="微软雅黑" w:cs="微软雅黑"/>
                <w:sz w:val="18"/>
                <w:szCs w:val="18"/>
              </w:rPr>
              <w:t>-30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682" w:type="dxa"/>
            <w:tcBorders>
              <w:right w:val="single" w:color="000000" w:sz="6" w:space="0"/>
            </w:tcBorders>
          </w:tcPr>
          <w:p>
            <w:pPr>
              <w:pStyle w:val="6"/>
              <w:spacing w:before="0"/>
              <w:jc w:val="center"/>
              <w:rPr>
                <w:rFonts w:hint="eastAsia" w:ascii="微软雅黑" w:hAnsi="微软雅黑" w:eastAsia="微软雅黑" w:cs="微软雅黑"/>
                <w:sz w:val="18"/>
                <w:szCs w:val="18"/>
                <w:lang w:val="en-US"/>
              </w:rPr>
            </w:pPr>
            <w:r>
              <w:rPr>
                <w:rFonts w:hint="eastAsia" w:ascii="微软雅黑" w:hAnsi="微软雅黑" w:eastAsia="微软雅黑" w:cs="微软雅黑"/>
                <w:sz w:val="18"/>
                <w:szCs w:val="18"/>
              </w:rPr>
              <w:t xml:space="preserve">C3 </w:t>
            </w:r>
            <w:r>
              <w:rPr>
                <w:rFonts w:hint="eastAsia" w:ascii="微软雅黑" w:hAnsi="微软雅黑" w:eastAsia="微软雅黑" w:cs="微软雅黑"/>
                <w:sz w:val="18"/>
                <w:szCs w:val="18"/>
                <w:lang w:val="en-US"/>
              </w:rPr>
              <w:t>平衡型</w:t>
            </w:r>
          </w:p>
        </w:tc>
        <w:tc>
          <w:tcPr>
            <w:tcW w:w="3550" w:type="dxa"/>
            <w:tcBorders>
              <w:left w:val="single" w:color="000000" w:sz="6" w:space="0"/>
            </w:tcBorders>
          </w:tcPr>
          <w:p>
            <w:pPr>
              <w:pStyle w:val="6"/>
              <w:spacing w:before="0"/>
              <w:jc w:val="center"/>
              <w:rPr>
                <w:rFonts w:hint="eastAsia" w:ascii="微软雅黑" w:hAnsi="微软雅黑" w:eastAsia="微软雅黑" w:cs="微软雅黑"/>
                <w:sz w:val="18"/>
                <w:szCs w:val="18"/>
                <w:lang w:val="en-US"/>
              </w:rPr>
            </w:pPr>
            <w:r>
              <w:rPr>
                <w:rFonts w:hint="eastAsia" w:ascii="微软雅黑" w:hAnsi="微软雅黑" w:eastAsia="微软雅黑" w:cs="微软雅黑"/>
                <w:sz w:val="18"/>
                <w:szCs w:val="18"/>
                <w:lang w:val="en-US"/>
              </w:rPr>
              <w:t>31</w:t>
            </w:r>
            <w:r>
              <w:rPr>
                <w:rFonts w:hint="eastAsia" w:ascii="微软雅黑" w:hAnsi="微软雅黑" w:eastAsia="微软雅黑" w:cs="微软雅黑"/>
                <w:sz w:val="18"/>
                <w:szCs w:val="18"/>
              </w:rPr>
              <w:t>-5</w:t>
            </w:r>
            <w:r>
              <w:rPr>
                <w:rFonts w:hint="eastAsia" w:ascii="微软雅黑" w:hAnsi="微软雅黑" w:eastAsia="微软雅黑" w:cs="微软雅黑"/>
                <w:sz w:val="18"/>
                <w:szCs w:val="18"/>
                <w:lang w:val="en-US"/>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3682" w:type="dxa"/>
            <w:tcBorders>
              <w:right w:val="single" w:color="000000" w:sz="6" w:space="0"/>
            </w:tcBorders>
          </w:tcPr>
          <w:p>
            <w:pPr>
              <w:pStyle w:val="6"/>
              <w:spacing w:before="0"/>
              <w:jc w:val="center"/>
              <w:rPr>
                <w:rFonts w:hint="eastAsia" w:ascii="微软雅黑" w:hAnsi="微软雅黑" w:eastAsia="微软雅黑" w:cs="微软雅黑"/>
                <w:sz w:val="18"/>
                <w:szCs w:val="18"/>
                <w:lang w:val="en-US"/>
              </w:rPr>
            </w:pPr>
            <w:r>
              <w:rPr>
                <w:rFonts w:hint="eastAsia" w:ascii="微软雅黑" w:hAnsi="微软雅黑" w:eastAsia="微软雅黑" w:cs="微软雅黑"/>
                <w:sz w:val="18"/>
                <w:szCs w:val="18"/>
              </w:rPr>
              <w:t xml:space="preserve">C4 </w:t>
            </w:r>
            <w:r>
              <w:rPr>
                <w:rFonts w:hint="eastAsia" w:ascii="微软雅黑" w:hAnsi="微软雅黑" w:eastAsia="微软雅黑" w:cs="微软雅黑"/>
                <w:sz w:val="18"/>
                <w:szCs w:val="18"/>
                <w:lang w:val="en-US"/>
              </w:rPr>
              <w:t>进取型</w:t>
            </w:r>
          </w:p>
        </w:tc>
        <w:tc>
          <w:tcPr>
            <w:tcW w:w="3550" w:type="dxa"/>
            <w:tcBorders>
              <w:left w:val="single" w:color="000000" w:sz="6" w:space="0"/>
            </w:tcBorders>
          </w:tcPr>
          <w:p>
            <w:pPr>
              <w:pStyle w:val="6"/>
              <w:spacing w:before="0"/>
              <w:jc w:val="center"/>
              <w:rPr>
                <w:rFonts w:hint="eastAsia" w:ascii="微软雅黑" w:hAnsi="微软雅黑" w:eastAsia="微软雅黑" w:cs="微软雅黑"/>
                <w:sz w:val="18"/>
                <w:szCs w:val="18"/>
                <w:lang w:val="en-US"/>
              </w:rPr>
            </w:pPr>
            <w:r>
              <w:rPr>
                <w:rFonts w:hint="eastAsia" w:ascii="微软雅黑" w:hAnsi="微软雅黑" w:eastAsia="微软雅黑" w:cs="微软雅黑"/>
                <w:sz w:val="18"/>
                <w:szCs w:val="18"/>
              </w:rPr>
              <w:t>5</w:t>
            </w:r>
            <w:r>
              <w:rPr>
                <w:rFonts w:hint="eastAsia" w:ascii="微软雅黑" w:hAnsi="微软雅黑" w:eastAsia="微软雅黑" w:cs="微软雅黑"/>
                <w:sz w:val="18"/>
                <w:szCs w:val="18"/>
                <w:lang w:val="en-US"/>
              </w:rPr>
              <w:t>1</w:t>
            </w:r>
            <w:r>
              <w:rPr>
                <w:rFonts w:hint="eastAsia" w:ascii="微软雅黑" w:hAnsi="微软雅黑" w:eastAsia="微软雅黑" w:cs="微软雅黑"/>
                <w:sz w:val="18"/>
                <w:szCs w:val="18"/>
              </w:rPr>
              <w:t>-</w:t>
            </w:r>
            <w:r>
              <w:rPr>
                <w:rFonts w:hint="eastAsia" w:ascii="微软雅黑" w:hAnsi="微软雅黑" w:eastAsia="微软雅黑" w:cs="微软雅黑"/>
                <w:sz w:val="18"/>
                <w:szCs w:val="18"/>
                <w:lang w:val="en-US"/>
              </w:rPr>
              <w:t>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682" w:type="dxa"/>
            <w:tcBorders>
              <w:right w:val="single" w:color="000000" w:sz="6" w:space="0"/>
            </w:tcBorders>
          </w:tcPr>
          <w:p>
            <w:pPr>
              <w:pStyle w:val="6"/>
              <w:spacing w:before="0"/>
              <w:jc w:val="center"/>
              <w:rPr>
                <w:rFonts w:hint="eastAsia" w:ascii="微软雅黑" w:hAnsi="微软雅黑" w:eastAsia="微软雅黑" w:cs="微软雅黑"/>
                <w:sz w:val="18"/>
                <w:szCs w:val="18"/>
                <w:lang w:val="en-US"/>
              </w:rPr>
            </w:pPr>
            <w:r>
              <w:rPr>
                <w:rFonts w:hint="eastAsia" w:ascii="微软雅黑" w:hAnsi="微软雅黑" w:eastAsia="微软雅黑" w:cs="微软雅黑"/>
                <w:sz w:val="18"/>
                <w:szCs w:val="18"/>
              </w:rPr>
              <w:t>C5</w:t>
            </w:r>
            <w:r>
              <w:rPr>
                <w:rFonts w:hint="eastAsia" w:ascii="微软雅黑" w:hAnsi="微软雅黑" w:eastAsia="微软雅黑" w:cs="微软雅黑"/>
                <w:sz w:val="18"/>
                <w:szCs w:val="18"/>
                <w:lang w:val="en-US" w:eastAsia="zh-CN"/>
              </w:rPr>
              <w:t xml:space="preserve"> </w:t>
            </w:r>
            <w:r>
              <w:rPr>
                <w:rFonts w:hint="eastAsia" w:ascii="微软雅黑" w:hAnsi="微软雅黑" w:eastAsia="微软雅黑" w:cs="微软雅黑"/>
                <w:sz w:val="18"/>
                <w:szCs w:val="18"/>
                <w:lang w:val="en-US"/>
              </w:rPr>
              <w:t>激进型</w:t>
            </w:r>
          </w:p>
        </w:tc>
        <w:tc>
          <w:tcPr>
            <w:tcW w:w="3550" w:type="dxa"/>
            <w:tcBorders>
              <w:left w:val="single" w:color="000000" w:sz="6" w:space="0"/>
            </w:tcBorders>
          </w:tcPr>
          <w:p>
            <w:pPr>
              <w:pStyle w:val="6"/>
              <w:spacing w:before="0"/>
              <w:jc w:val="center"/>
              <w:rPr>
                <w:rFonts w:hint="eastAsia" w:ascii="微软雅黑" w:hAnsi="微软雅黑" w:eastAsia="微软雅黑" w:cs="微软雅黑"/>
                <w:sz w:val="18"/>
                <w:szCs w:val="18"/>
              </w:rPr>
            </w:pPr>
            <w:r>
              <w:rPr>
                <w:rFonts w:hint="eastAsia" w:ascii="微软雅黑" w:hAnsi="微软雅黑" w:eastAsia="微软雅黑" w:cs="微软雅黑"/>
                <w:sz w:val="18"/>
                <w:szCs w:val="18"/>
                <w:lang w:val="en-US"/>
              </w:rPr>
              <w:t>7</w:t>
            </w:r>
            <w:r>
              <w:rPr>
                <w:rFonts w:hint="eastAsia" w:ascii="微软雅黑" w:hAnsi="微软雅黑" w:eastAsia="微软雅黑" w:cs="微软雅黑"/>
                <w:sz w:val="18"/>
                <w:szCs w:val="18"/>
              </w:rPr>
              <w:t>1-100</w:t>
            </w:r>
          </w:p>
        </w:tc>
      </w:tr>
    </w:tbl>
    <w:p>
      <w:pPr>
        <w:widowControl/>
        <w:kinsoku w:val="0"/>
        <w:autoSpaceDE w:val="0"/>
        <w:autoSpaceDN w:val="0"/>
        <w:adjustRightInd w:val="0"/>
        <w:snapToGrid w:val="0"/>
        <w:spacing w:before="2" w:line="369" w:lineRule="auto"/>
        <w:ind w:left="34" w:right="12" w:firstLine="657"/>
        <w:jc w:val="left"/>
        <w:textAlignment w:val="baseline"/>
        <w:rPr>
          <w:rFonts w:ascii="微软雅黑" w:hAnsi="微软雅黑" w:eastAsia="微软雅黑"/>
          <w:b/>
          <w:sz w:val="28"/>
          <w:szCs w:val="28"/>
        </w:rPr>
      </w:pPr>
    </w:p>
    <w:p>
      <w:pPr>
        <w:ind w:firstLine="420" w:firstLineChars="200"/>
        <w:rPr>
          <w:rFonts w:hint="eastAsia" w:ascii="微软雅黑" w:hAnsi="微软雅黑" w:eastAsia="微软雅黑"/>
        </w:rPr>
      </w:pPr>
    </w:p>
    <w:p>
      <w:pPr>
        <w:ind w:firstLine="420" w:firstLineChars="200"/>
        <w:rPr>
          <w:rFonts w:hint="eastAsia" w:ascii="微软雅黑" w:hAnsi="微软雅黑" w:eastAsia="微软雅黑"/>
        </w:rPr>
      </w:pPr>
    </w:p>
    <w:p>
      <w:pPr>
        <w:ind w:firstLine="420" w:firstLineChars="200"/>
        <w:rPr>
          <w:rFonts w:hint="eastAsia" w:ascii="微软雅黑" w:hAnsi="微软雅黑" w:eastAsia="微软雅黑"/>
        </w:rPr>
      </w:pPr>
    </w:p>
    <w:p>
      <w:pPr>
        <w:ind w:firstLine="420" w:firstLineChars="200"/>
        <w:rPr>
          <w:rFonts w:hint="default" w:ascii="微软雅黑" w:hAnsi="微软雅黑" w:eastAsia="微软雅黑" w:cstheme="minorBidi"/>
          <w:sz w:val="21"/>
          <w:szCs w:val="22"/>
        </w:rPr>
      </w:pPr>
      <w:r>
        <w:rPr>
          <w:rFonts w:hint="eastAsia" w:ascii="微软雅黑" w:hAnsi="微软雅黑" w:eastAsia="微软雅黑" w:cstheme="minorBidi"/>
          <w:sz w:val="21"/>
          <w:szCs w:val="22"/>
        </w:rPr>
        <w:t>风险承受能力经评估为C1</w:t>
      </w:r>
      <w:r>
        <w:rPr>
          <w:rFonts w:hint="default" w:ascii="微软雅黑" w:hAnsi="微软雅黑" w:eastAsia="微软雅黑" w:cstheme="minorBidi"/>
          <w:sz w:val="21"/>
          <w:szCs w:val="22"/>
        </w:rPr>
        <w:t>类的自然人投资者，符合以下情形之一的，将其认定为风险承受能力最低类别的投资者：</w:t>
      </w:r>
    </w:p>
    <w:p>
      <w:pPr>
        <w:numPr>
          <w:ilvl w:val="0"/>
          <w:numId w:val="3"/>
        </w:numPr>
        <w:ind w:firstLine="420" w:firstLineChars="200"/>
        <w:rPr>
          <w:rFonts w:hint="default" w:ascii="微软雅黑" w:hAnsi="微软雅黑" w:eastAsia="微软雅黑" w:cstheme="minorBidi"/>
          <w:sz w:val="21"/>
          <w:szCs w:val="22"/>
        </w:rPr>
      </w:pPr>
      <w:r>
        <w:rPr>
          <w:rFonts w:hint="default" w:ascii="微软雅黑" w:hAnsi="微软雅黑" w:eastAsia="微软雅黑" w:cstheme="minorBidi"/>
          <w:sz w:val="21"/>
          <w:szCs w:val="22"/>
        </w:rPr>
        <w:t>不具有完全民事行为能力；</w:t>
      </w:r>
    </w:p>
    <w:p>
      <w:pPr>
        <w:numPr>
          <w:ilvl w:val="0"/>
          <w:numId w:val="3"/>
        </w:numPr>
        <w:ind w:firstLine="420" w:firstLineChars="200"/>
        <w:rPr>
          <w:rFonts w:hint="eastAsia" w:ascii="微软雅黑" w:hAnsi="微软雅黑" w:eastAsia="微软雅黑" w:cstheme="minorBidi"/>
          <w:sz w:val="21"/>
          <w:szCs w:val="22"/>
        </w:rPr>
      </w:pPr>
      <w:r>
        <w:rPr>
          <w:rFonts w:hint="default" w:ascii="微软雅黑" w:hAnsi="微软雅黑" w:eastAsia="微软雅黑" w:cstheme="minorBidi"/>
          <w:sz w:val="21"/>
          <w:szCs w:val="22"/>
        </w:rPr>
        <w:t>没有风险容忍度或者不愿承受任何投资损失；</w:t>
      </w:r>
    </w:p>
    <w:p>
      <w:pPr>
        <w:numPr>
          <w:ilvl w:val="0"/>
          <w:numId w:val="0"/>
        </w:numPr>
        <w:ind w:firstLine="420" w:firstLineChars="200"/>
        <w:rPr>
          <w:rFonts w:hint="eastAsia" w:ascii="微软雅黑" w:hAnsi="微软雅黑" w:eastAsia="微软雅黑" w:cstheme="minorBidi"/>
          <w:sz w:val="21"/>
          <w:szCs w:val="22"/>
        </w:rPr>
      </w:pPr>
      <w:r>
        <w:rPr>
          <w:rFonts w:hint="default" w:ascii="微软雅黑" w:hAnsi="微软雅黑" w:eastAsia="微软雅黑" w:cstheme="minorBidi"/>
          <w:sz w:val="21"/>
          <w:szCs w:val="22"/>
        </w:rPr>
        <w:t>（三）法律、行政法规规定的其他情形。</w:t>
      </w:r>
    </w:p>
    <w:p>
      <w:pPr>
        <w:ind w:firstLine="420" w:firstLineChars="200"/>
        <w:rPr>
          <w:rFonts w:hint="default" w:ascii="微软雅黑" w:hAnsi="微软雅黑" w:eastAsia="微软雅黑" w:cstheme="minorBidi"/>
          <w:sz w:val="21"/>
          <w:szCs w:val="22"/>
          <w:lang w:val="en-US" w:eastAsia="zh-CN"/>
        </w:rPr>
      </w:pPr>
      <w:r>
        <w:rPr>
          <w:rFonts w:hint="default" w:ascii="微软雅黑" w:hAnsi="微软雅黑" w:eastAsia="微软雅黑" w:cstheme="minorBidi"/>
          <w:sz w:val="21"/>
          <w:szCs w:val="22"/>
          <w:lang w:val="en-US" w:eastAsia="zh-CN"/>
        </w:rPr>
        <w:t>投资者的类型认定、风险承受能力评估结果有效期均不得超过3年</w:t>
      </w:r>
      <w:r>
        <w:rPr>
          <w:rFonts w:hint="eastAsia" w:ascii="微软雅黑" w:hAnsi="微软雅黑" w:eastAsia="微软雅黑" w:cstheme="minorBidi"/>
          <w:sz w:val="21"/>
          <w:szCs w:val="22"/>
          <w:lang w:val="en-US" w:eastAsia="zh-CN"/>
        </w:rPr>
        <w:t>；</w:t>
      </w:r>
      <w:r>
        <w:rPr>
          <w:rFonts w:hint="eastAsia" w:ascii="微软雅黑" w:hAnsi="微软雅黑" w:eastAsia="微软雅黑"/>
        </w:rPr>
        <w:t>对于持有同一基金产品超过3年的投资者，持有期间其评估结果逾期无需重复执行。</w:t>
      </w:r>
    </w:p>
    <w:p>
      <w:pPr>
        <w:rPr>
          <w:rFonts w:hint="eastAsia" w:ascii="微软雅黑" w:hAnsi="微软雅黑" w:eastAsia="微软雅黑"/>
          <w:b/>
          <w:sz w:val="28"/>
          <w:szCs w:val="28"/>
          <w:highlight w:val="none"/>
          <w:lang w:eastAsia="zh-CN"/>
        </w:rPr>
      </w:pPr>
      <w:r>
        <w:rPr>
          <w:rFonts w:hint="eastAsia" w:ascii="微软雅黑" w:hAnsi="微软雅黑" w:eastAsia="微软雅黑"/>
          <w:b/>
          <w:sz w:val="28"/>
          <w:szCs w:val="28"/>
          <w:highlight w:val="none"/>
        </w:rPr>
        <w:t>二、投资者风险</w:t>
      </w:r>
      <w:r>
        <w:rPr>
          <w:rFonts w:hint="eastAsia" w:ascii="微软雅黑" w:hAnsi="微软雅黑" w:eastAsia="微软雅黑"/>
          <w:b/>
          <w:sz w:val="28"/>
          <w:szCs w:val="28"/>
          <w:highlight w:val="none"/>
          <w:lang w:val="en-US" w:eastAsia="zh-CN"/>
        </w:rPr>
        <w:t>承受能力等级</w:t>
      </w:r>
      <w:r>
        <w:rPr>
          <w:rFonts w:hint="eastAsia" w:ascii="微软雅黑" w:hAnsi="微软雅黑" w:eastAsia="微软雅黑"/>
          <w:b/>
          <w:sz w:val="28"/>
          <w:szCs w:val="28"/>
          <w:highlight w:val="none"/>
        </w:rPr>
        <w:t>与</w:t>
      </w:r>
      <w:r>
        <w:rPr>
          <w:rFonts w:hint="eastAsia" w:ascii="微软雅黑" w:hAnsi="微软雅黑" w:eastAsia="微软雅黑"/>
          <w:b/>
          <w:sz w:val="28"/>
          <w:szCs w:val="28"/>
          <w:highlight w:val="none"/>
          <w:lang w:val="en-US" w:eastAsia="zh-CN"/>
        </w:rPr>
        <w:t>基金</w:t>
      </w:r>
      <w:r>
        <w:rPr>
          <w:rFonts w:hint="eastAsia" w:ascii="微软雅黑" w:hAnsi="微软雅黑" w:eastAsia="微软雅黑"/>
          <w:b/>
          <w:sz w:val="28"/>
          <w:szCs w:val="28"/>
          <w:highlight w:val="none"/>
        </w:rPr>
        <w:t>产品</w:t>
      </w:r>
      <w:r>
        <w:rPr>
          <w:rFonts w:hint="eastAsia" w:ascii="微软雅黑" w:hAnsi="微软雅黑" w:eastAsia="微软雅黑"/>
          <w:b/>
          <w:sz w:val="28"/>
          <w:szCs w:val="28"/>
          <w:highlight w:val="none"/>
          <w:lang w:val="en-US" w:eastAsia="zh-CN"/>
        </w:rPr>
        <w:t>或服务</w:t>
      </w:r>
      <w:r>
        <w:rPr>
          <w:rFonts w:hint="eastAsia" w:ascii="微软雅黑" w:hAnsi="微软雅黑" w:eastAsia="微软雅黑"/>
          <w:b/>
          <w:sz w:val="28"/>
          <w:szCs w:val="28"/>
          <w:highlight w:val="none"/>
        </w:rPr>
        <w:t>风险等级匹配</w:t>
      </w:r>
      <w:r>
        <w:rPr>
          <w:rFonts w:hint="eastAsia" w:ascii="微软雅黑" w:hAnsi="微软雅黑" w:eastAsia="微软雅黑"/>
          <w:b/>
          <w:sz w:val="28"/>
          <w:szCs w:val="28"/>
          <w:highlight w:val="none"/>
          <w:lang w:val="en-US" w:eastAsia="zh-CN"/>
        </w:rPr>
        <w:t>原则</w:t>
      </w:r>
    </w:p>
    <w:p>
      <w:pPr>
        <w:ind w:firstLine="420" w:firstLineChars="200"/>
        <w:rPr>
          <w:rFonts w:hint="default" w:ascii="微软雅黑" w:hAnsi="微软雅黑" w:eastAsia="微软雅黑" w:cstheme="minorBidi"/>
          <w:sz w:val="21"/>
          <w:szCs w:val="22"/>
        </w:rPr>
      </w:pPr>
      <w:r>
        <w:rPr>
          <w:rFonts w:hint="eastAsia" w:ascii="微软雅黑" w:hAnsi="微软雅黑" w:eastAsia="微软雅黑" w:cstheme="minorBidi"/>
          <w:sz w:val="21"/>
          <w:szCs w:val="22"/>
          <w:lang w:val="en-US" w:eastAsia="zh-CN"/>
        </w:rPr>
        <w:t>我</w:t>
      </w:r>
      <w:r>
        <w:rPr>
          <w:rFonts w:hint="default" w:ascii="微软雅黑" w:hAnsi="微软雅黑" w:eastAsia="微软雅黑" w:cstheme="minorBidi"/>
          <w:sz w:val="21"/>
          <w:szCs w:val="22"/>
          <w:lang w:val="en-US" w:eastAsia="zh-CN"/>
        </w:rPr>
        <w:t>公司销售的基金产品或者服务的风险等级按照风险由低至高顺序，依次划分为：R1、R2、R3、R4、R5五个等级，相应的风险等级名称是：低风险、中低风险、中风险、中高风险、高风险。</w:t>
      </w:r>
    </w:p>
    <w:p>
      <w:pPr>
        <w:ind w:firstLine="420" w:firstLineChars="200"/>
        <w:rPr>
          <w:rFonts w:hint="default" w:ascii="微软雅黑" w:hAnsi="微软雅黑" w:eastAsia="微软雅黑" w:cstheme="minorBidi"/>
          <w:sz w:val="21"/>
          <w:szCs w:val="22"/>
          <w:lang w:eastAsia="zh-CN"/>
        </w:rPr>
      </w:pPr>
      <w:r>
        <w:rPr>
          <w:rFonts w:hint="default" w:ascii="微软雅黑" w:hAnsi="微软雅黑" w:eastAsia="微软雅黑" w:cstheme="minorBidi"/>
          <w:sz w:val="21"/>
          <w:szCs w:val="22"/>
        </w:rPr>
        <w:t>普通投资者风险承受能力与基金产品或者服务的风险等级按照以下适当性匹配原则</w:t>
      </w:r>
      <w:r>
        <w:rPr>
          <w:rFonts w:hint="default" w:ascii="微软雅黑" w:hAnsi="微软雅黑" w:eastAsia="微软雅黑" w:cstheme="minorBidi"/>
          <w:sz w:val="21"/>
          <w:szCs w:val="22"/>
          <w:lang w:eastAsia="zh-CN"/>
        </w:rPr>
        <w:t>：</w:t>
      </w:r>
    </w:p>
    <w:tbl>
      <w:tblPr>
        <w:tblStyle w:val="4"/>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30"/>
        <w:gridCol w:w="50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3430" w:type="dxa"/>
            <w:shd w:val="clear" w:color="auto" w:fill="D6DCE5" w:themeFill="text2" w:themeFillTint="32"/>
          </w:tcPr>
          <w:p>
            <w:pPr>
              <w:pStyle w:val="6"/>
              <w:keepNext w:val="0"/>
              <w:keepLines w:val="0"/>
              <w:pageBreakBefore w:val="0"/>
              <w:widowControl w:val="0"/>
              <w:kinsoku/>
              <w:wordWrap/>
              <w:overflowPunct/>
              <w:topLinePunct w:val="0"/>
              <w:autoSpaceDE/>
              <w:autoSpaceDN/>
              <w:bidi w:val="0"/>
              <w:adjustRightInd/>
              <w:snapToGrid/>
              <w:spacing w:before="157" w:beforeLines="50" w:after="157" w:afterLines="50"/>
              <w:jc w:val="left"/>
              <w:textAlignment w:val="auto"/>
              <w:rPr>
                <w:rFonts w:hint="default" w:ascii="微软雅黑" w:hAnsi="微软雅黑" w:eastAsia="微软雅黑" w:cs="楷体"/>
                <w:b/>
                <w:bCs/>
                <w:sz w:val="18"/>
                <w:szCs w:val="18"/>
                <w:highlight w:val="lightGray"/>
                <w:lang w:val="en-US" w:eastAsia="zh-CN"/>
              </w:rPr>
            </w:pPr>
            <w:r>
              <w:rPr>
                <w:rFonts w:hint="default" w:ascii="微软雅黑" w:hAnsi="微软雅黑" w:eastAsia="微软雅黑" w:cstheme="minorBidi"/>
                <w:b/>
                <w:bCs/>
                <w:kern w:val="2"/>
                <w:sz w:val="18"/>
                <w:szCs w:val="18"/>
                <w:lang w:val="en-US" w:eastAsia="zh-CN" w:bidi="ar-SA"/>
              </w:rPr>
              <w:t>投资者风险承受能力等级</w:t>
            </w:r>
          </w:p>
        </w:tc>
        <w:tc>
          <w:tcPr>
            <w:tcW w:w="5089" w:type="dxa"/>
            <w:shd w:val="clear" w:color="auto" w:fill="D6DCE5" w:themeFill="text2" w:themeFillTint="32"/>
          </w:tcPr>
          <w:p>
            <w:pPr>
              <w:keepNext w:val="0"/>
              <w:keepLines w:val="0"/>
              <w:pageBreakBefore w:val="0"/>
              <w:widowControl w:val="0"/>
              <w:kinsoku/>
              <w:wordWrap/>
              <w:overflowPunct/>
              <w:topLinePunct w:val="0"/>
              <w:autoSpaceDE/>
              <w:autoSpaceDN/>
              <w:bidi w:val="0"/>
              <w:adjustRightInd/>
              <w:snapToGrid/>
              <w:spacing w:before="157" w:beforeLines="50" w:after="157" w:afterLines="50"/>
              <w:jc w:val="left"/>
              <w:textAlignment w:val="auto"/>
              <w:rPr>
                <w:rFonts w:hint="eastAsia" w:ascii="微软雅黑" w:hAnsi="微软雅黑" w:eastAsia="微软雅黑"/>
                <w:b/>
                <w:bCs/>
                <w:color w:val="000000" w:themeColor="text1"/>
                <w:sz w:val="18"/>
                <w:szCs w:val="18"/>
                <w:highlight w:val="darkGray"/>
                <w14:textFill>
                  <w14:solidFill>
                    <w14:schemeClr w14:val="tx1"/>
                  </w14:solidFill>
                </w14:textFill>
              </w:rPr>
            </w:pPr>
            <w:r>
              <w:rPr>
                <w:rFonts w:hint="default" w:ascii="微软雅黑" w:hAnsi="微软雅黑" w:eastAsia="微软雅黑" w:cstheme="minorBidi"/>
                <w:b/>
                <w:bCs/>
                <w:kern w:val="2"/>
                <w:sz w:val="18"/>
                <w:szCs w:val="18"/>
                <w:lang w:val="en-US" w:eastAsia="zh-CN" w:bidi="ar-SA"/>
              </w:rPr>
              <w:t>可购买或接受的基金产品或服务等级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3430" w:type="dxa"/>
          </w:tcPr>
          <w:p>
            <w:pPr>
              <w:pStyle w:val="6"/>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微软雅黑" w:hAnsi="微软雅黑" w:eastAsia="微软雅黑" w:cs="楷体"/>
                <w:sz w:val="18"/>
                <w:szCs w:val="18"/>
                <w:lang w:val="en-US"/>
              </w:rPr>
            </w:pPr>
            <w:r>
              <w:rPr>
                <w:rFonts w:hint="eastAsia" w:ascii="微软雅黑" w:hAnsi="微软雅黑" w:eastAsia="微软雅黑" w:cs="楷体"/>
                <w:sz w:val="18"/>
                <w:szCs w:val="18"/>
              </w:rPr>
              <w:t xml:space="preserve">C1 </w:t>
            </w:r>
            <w:r>
              <w:rPr>
                <w:rFonts w:hint="eastAsia" w:ascii="微软雅黑" w:hAnsi="微软雅黑" w:eastAsia="微软雅黑" w:cs="楷体"/>
                <w:sz w:val="18"/>
                <w:szCs w:val="18"/>
                <w:lang w:val="en-US"/>
              </w:rPr>
              <w:t>保守型（含风险承受能力最低类别）</w:t>
            </w:r>
          </w:p>
        </w:tc>
        <w:tc>
          <w:tcPr>
            <w:tcW w:w="5089" w:type="dxa"/>
          </w:tcPr>
          <w:p>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rPr>
                <w:rFonts w:hint="default" w:ascii="微软雅黑" w:hAnsi="微软雅黑" w:eastAsia="微软雅黑"/>
                <w:sz w:val="18"/>
                <w:szCs w:val="18"/>
                <w:lang w:val="en-US" w:eastAsia="zh-CN"/>
              </w:rPr>
            </w:pPr>
            <w:r>
              <w:rPr>
                <w:rFonts w:hint="eastAsia" w:ascii="微软雅黑" w:hAnsi="微软雅黑" w:eastAsia="微软雅黑"/>
                <w:sz w:val="18"/>
                <w:szCs w:val="18"/>
                <w:lang w:val="en-US" w:eastAsia="zh-CN"/>
              </w:rPr>
              <w:t>R1(低风险)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3430" w:type="dxa"/>
          </w:tcPr>
          <w:p>
            <w:pPr>
              <w:pStyle w:val="6"/>
              <w:keepNext w:val="0"/>
              <w:keepLines w:val="0"/>
              <w:pageBreakBefore w:val="0"/>
              <w:widowControl w:val="0"/>
              <w:kinsoku/>
              <w:wordWrap/>
              <w:overflowPunct/>
              <w:topLinePunct w:val="0"/>
              <w:autoSpaceDE/>
              <w:autoSpaceDN/>
              <w:bidi w:val="0"/>
              <w:adjustRightInd/>
              <w:snapToGrid/>
              <w:spacing w:before="157" w:beforeLines="50" w:after="157" w:afterLines="50"/>
              <w:jc w:val="left"/>
              <w:textAlignment w:val="auto"/>
              <w:rPr>
                <w:rFonts w:hint="eastAsia" w:ascii="微软雅黑" w:hAnsi="微软雅黑" w:eastAsia="微软雅黑" w:cs="楷体"/>
                <w:sz w:val="18"/>
                <w:szCs w:val="18"/>
                <w:lang w:val="en-US" w:eastAsia="zh-CN"/>
              </w:rPr>
            </w:pPr>
            <w:r>
              <w:rPr>
                <w:rFonts w:hint="eastAsia" w:ascii="微软雅黑" w:hAnsi="微软雅黑" w:eastAsia="微软雅黑" w:cs="楷体"/>
                <w:sz w:val="18"/>
                <w:szCs w:val="18"/>
              </w:rPr>
              <w:t xml:space="preserve">C2 </w:t>
            </w:r>
            <w:r>
              <w:rPr>
                <w:rFonts w:hint="eastAsia" w:ascii="微软雅黑" w:hAnsi="微软雅黑" w:eastAsia="微软雅黑" w:cs="楷体"/>
                <w:sz w:val="18"/>
                <w:szCs w:val="18"/>
                <w:lang w:val="en-US"/>
              </w:rPr>
              <w:t>稳健型</w:t>
            </w:r>
          </w:p>
        </w:tc>
        <w:tc>
          <w:tcPr>
            <w:tcW w:w="5089" w:type="dxa"/>
          </w:tcPr>
          <w:p>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rPr>
                <w:rFonts w:hint="default" w:ascii="微软雅黑" w:hAnsi="微软雅黑" w:eastAsia="微软雅黑"/>
                <w:sz w:val="18"/>
                <w:szCs w:val="18"/>
                <w:lang w:val="en-US" w:eastAsia="zh-CN"/>
              </w:rPr>
            </w:pPr>
            <w:r>
              <w:rPr>
                <w:rFonts w:hint="eastAsia" w:ascii="微软雅黑" w:hAnsi="微软雅黑" w:eastAsia="微软雅黑"/>
                <w:sz w:val="18"/>
                <w:szCs w:val="18"/>
                <w:lang w:val="en-US" w:eastAsia="zh-CN"/>
              </w:rPr>
              <w:t>R1(低风险)、R2（中低风险）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3430" w:type="dxa"/>
          </w:tcPr>
          <w:p>
            <w:pPr>
              <w:pStyle w:val="6"/>
              <w:keepNext w:val="0"/>
              <w:keepLines w:val="0"/>
              <w:pageBreakBefore w:val="0"/>
              <w:widowControl w:val="0"/>
              <w:kinsoku/>
              <w:wordWrap/>
              <w:overflowPunct/>
              <w:topLinePunct w:val="0"/>
              <w:autoSpaceDE/>
              <w:autoSpaceDN/>
              <w:bidi w:val="0"/>
              <w:adjustRightInd/>
              <w:snapToGrid/>
              <w:spacing w:before="157" w:beforeLines="50" w:after="157" w:afterLines="50"/>
              <w:jc w:val="left"/>
              <w:textAlignment w:val="auto"/>
              <w:rPr>
                <w:rFonts w:hint="eastAsia" w:ascii="微软雅黑" w:hAnsi="微软雅黑" w:eastAsia="微软雅黑" w:cs="楷体"/>
                <w:sz w:val="18"/>
                <w:szCs w:val="18"/>
                <w:lang w:val="en-US"/>
              </w:rPr>
            </w:pPr>
            <w:r>
              <w:rPr>
                <w:rFonts w:hint="eastAsia" w:ascii="微软雅黑" w:hAnsi="微软雅黑" w:eastAsia="微软雅黑" w:cs="楷体"/>
                <w:sz w:val="18"/>
                <w:szCs w:val="18"/>
              </w:rPr>
              <w:t xml:space="preserve">C3 </w:t>
            </w:r>
            <w:r>
              <w:rPr>
                <w:rFonts w:hint="eastAsia" w:ascii="微软雅黑" w:hAnsi="微软雅黑" w:eastAsia="微软雅黑" w:cs="楷体"/>
                <w:sz w:val="18"/>
                <w:szCs w:val="18"/>
                <w:lang w:val="en-US"/>
              </w:rPr>
              <w:t>平衡型</w:t>
            </w:r>
          </w:p>
        </w:tc>
        <w:tc>
          <w:tcPr>
            <w:tcW w:w="5089" w:type="dxa"/>
          </w:tcPr>
          <w:p>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rPr>
                <w:rFonts w:hint="default" w:ascii="微软雅黑" w:hAnsi="微软雅黑" w:eastAsia="微软雅黑"/>
                <w:sz w:val="18"/>
                <w:szCs w:val="18"/>
                <w:lang w:val="en-US"/>
              </w:rPr>
            </w:pPr>
            <w:r>
              <w:rPr>
                <w:rFonts w:hint="eastAsia" w:ascii="微软雅黑" w:hAnsi="微软雅黑" w:eastAsia="微软雅黑"/>
                <w:sz w:val="18"/>
                <w:szCs w:val="18"/>
                <w:lang w:val="en-US" w:eastAsia="zh-CN"/>
              </w:rPr>
              <w:t>R1(低风险)、R2（中低风险）、R3（中风险）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3430" w:type="dxa"/>
          </w:tcPr>
          <w:p>
            <w:pPr>
              <w:pStyle w:val="6"/>
              <w:keepNext w:val="0"/>
              <w:keepLines w:val="0"/>
              <w:pageBreakBefore w:val="0"/>
              <w:widowControl w:val="0"/>
              <w:kinsoku/>
              <w:wordWrap/>
              <w:overflowPunct/>
              <w:topLinePunct w:val="0"/>
              <w:autoSpaceDE/>
              <w:autoSpaceDN/>
              <w:bidi w:val="0"/>
              <w:adjustRightInd/>
              <w:snapToGrid/>
              <w:spacing w:before="157" w:beforeLines="50" w:after="157" w:afterLines="50"/>
              <w:jc w:val="left"/>
              <w:textAlignment w:val="auto"/>
              <w:rPr>
                <w:rFonts w:ascii="微软雅黑" w:hAnsi="微软雅黑" w:eastAsia="微软雅黑" w:cs="楷体"/>
                <w:sz w:val="18"/>
                <w:szCs w:val="18"/>
                <w:lang w:val="en-US"/>
              </w:rPr>
            </w:pPr>
            <w:r>
              <w:rPr>
                <w:rFonts w:hint="eastAsia" w:ascii="微软雅黑" w:hAnsi="微软雅黑" w:eastAsia="微软雅黑" w:cs="楷体"/>
                <w:sz w:val="18"/>
                <w:szCs w:val="18"/>
              </w:rPr>
              <w:t xml:space="preserve">C4 </w:t>
            </w:r>
            <w:r>
              <w:rPr>
                <w:rFonts w:hint="eastAsia" w:ascii="微软雅黑" w:hAnsi="微软雅黑" w:eastAsia="微软雅黑" w:cs="楷体"/>
                <w:sz w:val="18"/>
                <w:szCs w:val="18"/>
                <w:lang w:val="en-US"/>
              </w:rPr>
              <w:t>进取型</w:t>
            </w:r>
          </w:p>
        </w:tc>
        <w:tc>
          <w:tcPr>
            <w:tcW w:w="5089" w:type="dxa"/>
          </w:tcPr>
          <w:p>
            <w:pPr>
              <w:keepNext w:val="0"/>
              <w:keepLines w:val="0"/>
              <w:pageBreakBefore w:val="0"/>
              <w:widowControl w:val="0"/>
              <w:kinsoku/>
              <w:wordWrap/>
              <w:overflowPunct/>
              <w:topLinePunct w:val="0"/>
              <w:autoSpaceDE/>
              <w:autoSpaceDN/>
              <w:bidi w:val="0"/>
              <w:adjustRightInd/>
              <w:snapToGrid/>
              <w:textAlignment w:val="auto"/>
              <w:rPr>
                <w:rFonts w:hint="default" w:ascii="微软雅黑" w:hAnsi="微软雅黑" w:eastAsia="微软雅黑"/>
                <w:sz w:val="18"/>
                <w:szCs w:val="18"/>
                <w:lang w:val="en-US"/>
              </w:rPr>
            </w:pPr>
            <w:r>
              <w:rPr>
                <w:rFonts w:hint="eastAsia" w:ascii="微软雅黑" w:hAnsi="微软雅黑" w:eastAsia="微软雅黑"/>
                <w:sz w:val="18"/>
                <w:szCs w:val="18"/>
                <w:lang w:val="en-US" w:eastAsia="zh-CN"/>
              </w:rPr>
              <w:t>R1(低风险)、R2（中低风险）、R3（中风险）、R4（中高风险）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3430" w:type="dxa"/>
          </w:tcPr>
          <w:p>
            <w:pPr>
              <w:pStyle w:val="6"/>
              <w:keepNext w:val="0"/>
              <w:keepLines w:val="0"/>
              <w:pageBreakBefore w:val="0"/>
              <w:widowControl w:val="0"/>
              <w:kinsoku/>
              <w:wordWrap/>
              <w:overflowPunct/>
              <w:topLinePunct w:val="0"/>
              <w:autoSpaceDE/>
              <w:autoSpaceDN/>
              <w:bidi w:val="0"/>
              <w:adjustRightInd/>
              <w:snapToGrid/>
              <w:spacing w:before="157" w:beforeLines="50" w:after="157" w:afterLines="50"/>
              <w:jc w:val="left"/>
              <w:textAlignment w:val="auto"/>
              <w:rPr>
                <w:rFonts w:ascii="微软雅黑" w:hAnsi="微软雅黑" w:eastAsia="微软雅黑" w:cs="楷体"/>
                <w:sz w:val="18"/>
                <w:szCs w:val="18"/>
                <w:lang w:val="en-US"/>
              </w:rPr>
            </w:pPr>
            <w:r>
              <w:rPr>
                <w:rFonts w:hint="eastAsia" w:ascii="微软雅黑" w:hAnsi="微软雅黑" w:eastAsia="微软雅黑" w:cs="楷体"/>
                <w:sz w:val="18"/>
                <w:szCs w:val="18"/>
              </w:rPr>
              <w:t>C5</w:t>
            </w:r>
            <w:r>
              <w:rPr>
                <w:rFonts w:hint="eastAsia" w:ascii="微软雅黑" w:hAnsi="微软雅黑" w:eastAsia="微软雅黑" w:cs="楷体"/>
                <w:sz w:val="18"/>
                <w:szCs w:val="18"/>
                <w:lang w:val="en-US"/>
              </w:rPr>
              <w:t>激进型</w:t>
            </w:r>
          </w:p>
        </w:tc>
        <w:tc>
          <w:tcPr>
            <w:tcW w:w="5089" w:type="dxa"/>
          </w:tcPr>
          <w:p>
            <w:pPr>
              <w:keepNext w:val="0"/>
              <w:keepLines w:val="0"/>
              <w:pageBreakBefore w:val="0"/>
              <w:widowControl w:val="0"/>
              <w:kinsoku/>
              <w:wordWrap/>
              <w:overflowPunct/>
              <w:topLinePunct w:val="0"/>
              <w:autoSpaceDE/>
              <w:autoSpaceDN/>
              <w:bidi w:val="0"/>
              <w:adjustRightInd/>
              <w:snapToGrid/>
              <w:textAlignment w:val="auto"/>
              <w:rPr>
                <w:rFonts w:hint="default" w:ascii="微软雅黑" w:hAnsi="微软雅黑" w:eastAsia="微软雅黑"/>
                <w:sz w:val="18"/>
                <w:szCs w:val="18"/>
                <w:lang w:val="en-US"/>
              </w:rPr>
            </w:pPr>
            <w:r>
              <w:rPr>
                <w:rFonts w:hint="eastAsia" w:ascii="微软雅黑" w:hAnsi="微软雅黑" w:eastAsia="微软雅黑"/>
                <w:sz w:val="18"/>
                <w:szCs w:val="18"/>
                <w:lang w:val="en-US" w:eastAsia="zh-CN"/>
              </w:rPr>
              <w:t>R1(低风险)、R2（中低风险）、R3（中风险）、R4（中高风险）、R5（高风险）</w:t>
            </w:r>
          </w:p>
        </w:tc>
      </w:tr>
    </w:tbl>
    <w:p>
      <w:pPr>
        <w:widowControl/>
        <w:spacing w:before="4" w:line="371" w:lineRule="auto"/>
        <w:ind w:right="9" w:firstLine="420" w:firstLineChars="200"/>
        <w:rPr>
          <w:rFonts w:hint="eastAsia" w:ascii="微软雅黑" w:hAnsi="微软雅黑" w:eastAsia="微软雅黑" w:cstheme="minorBidi"/>
          <w:sz w:val="21"/>
          <w:szCs w:val="22"/>
          <w:lang w:val="en-US" w:eastAsia="zh-CN"/>
        </w:rPr>
      </w:pPr>
      <w:r>
        <w:rPr>
          <w:rFonts w:hint="eastAsia" w:ascii="微软雅黑" w:hAnsi="微软雅黑" w:eastAsia="微软雅黑" w:cstheme="minorBidi"/>
          <w:sz w:val="21"/>
          <w:szCs w:val="22"/>
          <w:lang w:val="en-US" w:eastAsia="zh-CN"/>
        </w:rPr>
        <w:t>风险承受能力最低类别的普通投资者只可购买或接受R1风险等级的基金产品或者服务。</w:t>
      </w:r>
    </w:p>
    <w:p>
      <w:pPr>
        <w:widowControl/>
        <w:spacing w:before="4" w:line="371" w:lineRule="auto"/>
        <w:ind w:right="9"/>
        <w:rPr>
          <w:rFonts w:hint="eastAsia" w:ascii="微软雅黑" w:hAnsi="微软雅黑" w:eastAsia="微软雅黑" w:cstheme="minorBidi"/>
          <w:sz w:val="21"/>
          <w:szCs w:val="22"/>
          <w:lang w:val="en-US" w:eastAsia="zh-CN"/>
        </w:rPr>
      </w:pPr>
    </w:p>
    <w:p>
      <w:pPr>
        <w:widowControl/>
        <w:spacing w:before="4" w:line="371" w:lineRule="auto"/>
        <w:ind w:right="9"/>
        <w:rPr>
          <w:rFonts w:ascii="微软雅黑" w:hAnsi="微软雅黑" w:eastAsia="微软雅黑" w:cstheme="minorBidi"/>
          <w:sz w:val="21"/>
          <w:szCs w:val="22"/>
        </w:rPr>
      </w:pPr>
      <w:r>
        <w:rPr>
          <w:rFonts w:hint="eastAsia" w:ascii="微软雅黑" w:hAnsi="微软雅黑" w:eastAsia="微软雅黑" w:cstheme="minorBidi"/>
          <w:sz w:val="21"/>
          <w:szCs w:val="22"/>
          <w:lang w:val="en-US" w:eastAsia="zh-CN"/>
        </w:rPr>
        <w:t>公司</w:t>
      </w:r>
      <w:r>
        <w:rPr>
          <w:rFonts w:hint="default" w:ascii="微软雅黑" w:hAnsi="微软雅黑" w:eastAsia="微软雅黑" w:cstheme="minorBidi"/>
          <w:sz w:val="21"/>
          <w:szCs w:val="22"/>
        </w:rPr>
        <w:t>名称：银河期货有限公司</w:t>
      </w:r>
    </w:p>
    <w:p>
      <w:pPr>
        <w:widowControl/>
        <w:spacing w:before="4" w:line="371" w:lineRule="auto"/>
        <w:ind w:right="9"/>
        <w:rPr>
          <w:rFonts w:hint="default" w:ascii="微软雅黑" w:hAnsi="微软雅黑" w:eastAsia="微软雅黑" w:cstheme="minorBidi"/>
          <w:sz w:val="21"/>
          <w:szCs w:val="22"/>
        </w:rPr>
      </w:pPr>
      <w:r>
        <w:rPr>
          <w:rFonts w:hint="default" w:ascii="微软雅黑" w:hAnsi="微软雅黑" w:eastAsia="微软雅黑" w:cstheme="minorBidi"/>
          <w:sz w:val="21"/>
          <w:szCs w:val="22"/>
        </w:rPr>
        <w:t>客户服务统一热线：400-886-7799</w:t>
      </w:r>
    </w:p>
    <w:p>
      <w:pPr>
        <w:widowControl/>
        <w:spacing w:before="4" w:line="371" w:lineRule="auto"/>
        <w:ind w:right="9"/>
        <w:rPr>
          <w:rFonts w:ascii="微软雅黑" w:hAnsi="微软雅黑" w:eastAsia="微软雅黑" w:cstheme="minorBidi"/>
          <w:sz w:val="21"/>
          <w:szCs w:val="22"/>
        </w:rPr>
      </w:pPr>
      <w:r>
        <w:rPr>
          <w:rFonts w:hint="default" w:ascii="微软雅黑" w:hAnsi="微软雅黑" w:eastAsia="微软雅黑" w:cstheme="minorBidi"/>
          <w:sz w:val="21"/>
          <w:szCs w:val="22"/>
        </w:rPr>
        <w:t>网址：www.yhqh.com.cn</w:t>
      </w:r>
    </w:p>
    <w:p>
      <w:pPr>
        <w:widowControl/>
        <w:spacing w:before="4" w:line="371" w:lineRule="auto"/>
        <w:ind w:right="9"/>
        <w:rPr>
          <w:rFonts w:ascii="微软雅黑" w:hAnsi="微软雅黑" w:eastAsia="微软雅黑" w:cstheme="minorBidi"/>
          <w:sz w:val="21"/>
          <w:szCs w:val="22"/>
        </w:rPr>
      </w:pPr>
      <w:r>
        <w:rPr>
          <w:rFonts w:hint="default" w:ascii="微软雅黑" w:hAnsi="微软雅黑" w:eastAsia="微软雅黑" w:cstheme="minorBidi"/>
          <w:sz w:val="21"/>
          <w:szCs w:val="22"/>
        </w:rPr>
        <w:t>地址：北京市朝阳区建国门外大街8号楼31层2702单元31012室、33层2902单元33010室</w:t>
      </w:r>
    </w:p>
    <w:p>
      <w:pPr>
        <w:spacing w:before="4" w:line="371" w:lineRule="auto"/>
        <w:ind w:left="35" w:right="9" w:firstLine="668" w:firstLineChars="0"/>
        <w:rPr>
          <w:rFonts w:hint="default" w:ascii="微软雅黑" w:hAnsi="微软雅黑" w:eastAsia="微软雅黑"/>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36A6CED"/>
    <w:multiLevelType w:val="singleLevel"/>
    <w:tmpl w:val="F36A6CED"/>
    <w:lvl w:ilvl="0" w:tentative="0">
      <w:start w:val="1"/>
      <w:numFmt w:val="chineseCounting"/>
      <w:suff w:val="nothing"/>
      <w:lvlText w:val="（%1）"/>
      <w:lvlJc w:val="left"/>
      <w:rPr>
        <w:rFonts w:hint="eastAsia"/>
      </w:rPr>
    </w:lvl>
  </w:abstractNum>
  <w:abstractNum w:abstractNumId="1">
    <w:nsid w:val="2B598169"/>
    <w:multiLevelType w:val="singleLevel"/>
    <w:tmpl w:val="2B598169"/>
    <w:lvl w:ilvl="0" w:tentative="0">
      <w:start w:val="1"/>
      <w:numFmt w:val="chineseCounting"/>
      <w:suff w:val="nothing"/>
      <w:lvlText w:val="（%1）"/>
      <w:lvlJc w:val="left"/>
      <w:rPr>
        <w:rFonts w:hint="eastAsia"/>
      </w:rPr>
    </w:lvl>
  </w:abstractNum>
  <w:abstractNum w:abstractNumId="2">
    <w:nsid w:val="6A352A85"/>
    <w:multiLevelType w:val="singleLevel"/>
    <w:tmpl w:val="6A352A85"/>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Y5YTgzYjY5MzY4NTM5NWYyYjliMTI1ZTU0MGIwNDEifQ=="/>
    <w:docVar w:name="KSO_WPS_MARK_KEY" w:val="ec61f9dc-d5fd-4027-88e5-e13ef908a139"/>
  </w:docVars>
  <w:rsids>
    <w:rsidRoot w:val="000830AB"/>
    <w:rsid w:val="000248D0"/>
    <w:rsid w:val="000830AB"/>
    <w:rsid w:val="000D323C"/>
    <w:rsid w:val="00105E08"/>
    <w:rsid w:val="00161F20"/>
    <w:rsid w:val="00320B3D"/>
    <w:rsid w:val="004102C2"/>
    <w:rsid w:val="006202BC"/>
    <w:rsid w:val="00693F6B"/>
    <w:rsid w:val="008454D6"/>
    <w:rsid w:val="00934747"/>
    <w:rsid w:val="0093789C"/>
    <w:rsid w:val="00991C0B"/>
    <w:rsid w:val="00A417E1"/>
    <w:rsid w:val="00E133E7"/>
    <w:rsid w:val="00F671B2"/>
    <w:rsid w:val="03724869"/>
    <w:rsid w:val="05322502"/>
    <w:rsid w:val="0A232419"/>
    <w:rsid w:val="0D580C34"/>
    <w:rsid w:val="0F5F0B1E"/>
    <w:rsid w:val="105E064F"/>
    <w:rsid w:val="126B2BAF"/>
    <w:rsid w:val="137D04B8"/>
    <w:rsid w:val="18356139"/>
    <w:rsid w:val="18FB1A66"/>
    <w:rsid w:val="1901426D"/>
    <w:rsid w:val="1F0D0A31"/>
    <w:rsid w:val="1F4E02DE"/>
    <w:rsid w:val="21D95D87"/>
    <w:rsid w:val="25096983"/>
    <w:rsid w:val="27CF6D63"/>
    <w:rsid w:val="2D9A7DFE"/>
    <w:rsid w:val="2DCE076A"/>
    <w:rsid w:val="2E01571F"/>
    <w:rsid w:val="32807B59"/>
    <w:rsid w:val="34254E5C"/>
    <w:rsid w:val="342D3D10"/>
    <w:rsid w:val="3CFC24D2"/>
    <w:rsid w:val="40C15F0C"/>
    <w:rsid w:val="426E3E72"/>
    <w:rsid w:val="432A5FEB"/>
    <w:rsid w:val="43F403A7"/>
    <w:rsid w:val="45336CAD"/>
    <w:rsid w:val="45DE4E6B"/>
    <w:rsid w:val="484967B9"/>
    <w:rsid w:val="4F716D4F"/>
    <w:rsid w:val="50947199"/>
    <w:rsid w:val="51714DE5"/>
    <w:rsid w:val="55F90EA2"/>
    <w:rsid w:val="5696625D"/>
    <w:rsid w:val="583628E4"/>
    <w:rsid w:val="58466FCB"/>
    <w:rsid w:val="588331B5"/>
    <w:rsid w:val="58B54151"/>
    <w:rsid w:val="59941FB8"/>
    <w:rsid w:val="5A782E45"/>
    <w:rsid w:val="5BE32D83"/>
    <w:rsid w:val="5ED23243"/>
    <w:rsid w:val="6110611D"/>
    <w:rsid w:val="6468331A"/>
    <w:rsid w:val="67B850C4"/>
    <w:rsid w:val="6BB87D88"/>
    <w:rsid w:val="6E21717E"/>
    <w:rsid w:val="70A97C9F"/>
    <w:rsid w:val="78643E1A"/>
    <w:rsid w:val="787E5EB6"/>
    <w:rsid w:val="78947487"/>
    <w:rsid w:val="7BA07E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Table Paragraph"/>
    <w:basedOn w:val="1"/>
    <w:qFormat/>
    <w:uiPriority w:val="1"/>
    <w:pPr>
      <w:spacing w:before="134"/>
    </w:pPr>
    <w:rPr>
      <w:rFonts w:ascii="仿宋" w:hAnsi="仿宋" w:eastAsia="仿宋" w:cs="仿宋"/>
      <w:szCs w:val="20"/>
      <w:lang w:val="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1467</Words>
  <Characters>1560</Characters>
  <Lines>1</Lines>
  <Paragraphs>1</Paragraphs>
  <TotalTime>15</TotalTime>
  <ScaleCrop>false</ScaleCrop>
  <LinksUpToDate>false</LinksUpToDate>
  <CharactersWithSpaces>1570</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2022-12-09T05:24:00Z</dcterms:created>
  <dc:creator>高蓓</dc:creator>
  <cp:lastModifiedBy>银河期货+殷然</cp:lastModifiedBy>
  <dcterms:modified xsi:type="dcterms:W3CDTF">2022-12-28T03:25:00Z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F3B41E068A104972924F00A8F0667B1F</vt:lpwstr>
  </property>
</Properties>
</file>