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beforeLines="50" w:line="227" w:lineRule="auto"/>
        <w:ind w:left="0"/>
        <w:jc w:val="center"/>
        <w:rPr>
          <w:rFonts w:hint="eastAsia" w:ascii="仿宋" w:hAnsi="仿宋" w:eastAsia="仿宋" w:cs="仿宋"/>
          <w:b/>
          <w:bCs/>
          <w:sz w:val="44"/>
          <w:szCs w:val="44"/>
          <w:highlight w:val="none"/>
        </w:rPr>
      </w:pPr>
      <w:r>
        <w:rPr>
          <w:rFonts w:hint="eastAsia" w:ascii="仿宋" w:hAnsi="仿宋" w:eastAsia="仿宋" w:cs="仿宋"/>
          <w:b/>
          <w:bCs/>
          <w:spacing w:val="10"/>
          <w:sz w:val="44"/>
          <w:szCs w:val="44"/>
          <w:highlight w:val="none"/>
          <w14:textOutline w14:w="6537" w14:cap="sq" w14:cmpd="sng">
            <w14:solidFill>
              <w14:srgbClr w14:val="000000"/>
            </w14:solidFill>
            <w14:prstDash w14:val="solid"/>
            <w14:bevel/>
          </w14:textOutline>
        </w:rPr>
        <w:t>银河期货有限公</w:t>
      </w:r>
      <w:r>
        <w:rPr>
          <w:rFonts w:hint="eastAsia" w:ascii="仿宋" w:hAnsi="仿宋" w:eastAsia="仿宋" w:cs="仿宋"/>
          <w:b/>
          <w:bCs/>
          <w:spacing w:val="8"/>
          <w:sz w:val="44"/>
          <w:szCs w:val="44"/>
          <w:highlight w:val="none"/>
          <w14:textOutline w14:w="6537" w14:cap="sq" w14:cmpd="sng">
            <w14:solidFill>
              <w14:srgbClr w14:val="000000"/>
            </w14:solidFill>
            <w14:prstDash w14:val="solid"/>
            <w14:bevel/>
          </w14:textOutline>
        </w:rPr>
        <w:t>司</w:t>
      </w:r>
    </w:p>
    <w:p>
      <w:pPr>
        <w:spacing w:before="0" w:beforeLines="50" w:line="226" w:lineRule="auto"/>
        <w:ind w:left="0" w:firstLine="0" w:firstLineChars="0"/>
        <w:jc w:val="center"/>
        <w:rPr>
          <w:rFonts w:hint="eastAsia" w:ascii="仿宋" w:hAnsi="仿宋" w:eastAsia="仿宋" w:cs="仿宋"/>
          <w:b/>
          <w:bCs/>
          <w:sz w:val="44"/>
          <w:szCs w:val="44"/>
          <w:highlight w:val="none"/>
        </w:rPr>
      </w:pPr>
      <w:r>
        <w:rPr>
          <w:rFonts w:hint="eastAsia" w:ascii="仿宋" w:hAnsi="仿宋" w:eastAsia="仿宋" w:cs="仿宋"/>
          <w:b/>
          <w:bCs/>
          <w:spacing w:val="16"/>
          <w:sz w:val="44"/>
          <w:szCs w:val="44"/>
          <w:highlight w:val="none"/>
          <w14:textOutline w14:w="6537" w14:cap="sq" w14:cmpd="sng">
            <w14:solidFill>
              <w14:srgbClr w14:val="000000"/>
            </w14:solidFill>
            <w14:prstDash w14:val="solid"/>
            <w14:bevel/>
          </w14:textOutline>
        </w:rPr>
        <w:t>证</w:t>
      </w:r>
      <w:r>
        <w:rPr>
          <w:rFonts w:hint="eastAsia" w:ascii="仿宋" w:hAnsi="仿宋" w:eastAsia="仿宋" w:cs="仿宋"/>
          <w:b/>
          <w:bCs/>
          <w:spacing w:val="10"/>
          <w:sz w:val="44"/>
          <w:szCs w:val="44"/>
          <w:highlight w:val="none"/>
          <w14:textOutline w14:w="6537" w14:cap="sq" w14:cmpd="sng">
            <w14:solidFill>
              <w14:srgbClr w14:val="000000"/>
            </w14:solidFill>
            <w14:prstDash w14:val="solid"/>
            <w14:bevel/>
          </w14:textOutline>
        </w:rPr>
        <w:t>券投资基金交易服务协议</w:t>
      </w:r>
    </w:p>
    <w:p>
      <w:pPr>
        <w:spacing w:line="410" w:lineRule="auto"/>
        <w:rPr>
          <w:rFonts w:hint="eastAsia" w:ascii="仿宋" w:hAnsi="仿宋" w:eastAsia="仿宋" w:cs="仿宋"/>
          <w:sz w:val="21"/>
          <w:highlight w:val="none"/>
        </w:rPr>
      </w:pPr>
    </w:p>
    <w:p>
      <w:pPr>
        <w:spacing w:before="0" w:line="360" w:lineRule="auto"/>
        <w:ind w:left="0" w:firstLine="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甲方：投资者</w:t>
      </w:r>
    </w:p>
    <w:p>
      <w:pPr>
        <w:spacing w:line="360" w:lineRule="auto"/>
        <w:rPr>
          <w:rFonts w:hint="eastAsia" w:ascii="仿宋" w:hAnsi="仿宋" w:eastAsia="仿宋" w:cs="仿宋"/>
          <w:sz w:val="24"/>
          <w:szCs w:val="24"/>
          <w:highlight w:val="none"/>
        </w:rPr>
      </w:pPr>
    </w:p>
    <w:p>
      <w:pPr>
        <w:spacing w:before="0" w:line="360" w:lineRule="auto"/>
        <w:ind w:left="0" w:firstLine="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乙方：银河期货有限公司</w:t>
      </w:r>
    </w:p>
    <w:p>
      <w:pPr>
        <w:spacing w:line="360" w:lineRule="auto"/>
        <w:rPr>
          <w:rFonts w:hint="eastAsia" w:ascii="仿宋" w:hAnsi="仿宋" w:eastAsia="仿宋" w:cs="仿宋"/>
          <w:sz w:val="24"/>
          <w:szCs w:val="24"/>
          <w:highlight w:val="none"/>
        </w:rPr>
      </w:pPr>
    </w:p>
    <w:p>
      <w:pPr>
        <w:spacing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甲乙双方依据有关法律、法规的规定，本着公开、公平、自愿和诚实信用的原则，就</w:t>
      </w:r>
      <w:r>
        <w:rPr>
          <w:rFonts w:hint="eastAsia" w:ascii="仿宋" w:hAnsi="仿宋" w:eastAsia="仿宋" w:cs="仿宋"/>
          <w:spacing w:val="11"/>
          <w:sz w:val="24"/>
          <w:szCs w:val="24"/>
          <w:highlight w:val="none"/>
          <w:lang w:val="en-US" w:eastAsia="zh-CN"/>
        </w:rPr>
        <w:t>甲方向乙方提交基金交易业务申请、</w:t>
      </w:r>
      <w:r>
        <w:rPr>
          <w:rFonts w:hint="eastAsia" w:ascii="仿宋" w:hAnsi="仿宋" w:eastAsia="仿宋" w:cs="仿宋"/>
          <w:spacing w:val="11"/>
          <w:sz w:val="24"/>
          <w:szCs w:val="24"/>
          <w:highlight w:val="none"/>
        </w:rPr>
        <w:t>乙方为甲方提供基金交易服务及其他相关服务达成如下协议(以下简称“本协议”)</w:t>
      </w:r>
      <w:r>
        <w:rPr>
          <w:rFonts w:hint="eastAsia" w:ascii="仿宋" w:hAnsi="仿宋" w:eastAsia="仿宋" w:cs="仿宋"/>
          <w:b/>
          <w:bCs/>
          <w:spacing w:val="11"/>
          <w:sz w:val="24"/>
          <w:szCs w:val="24"/>
          <w:highlight w:val="none"/>
        </w:rPr>
        <w:t>(粗体标注内容请特别注意)</w:t>
      </w:r>
      <w:r>
        <w:rPr>
          <w:rFonts w:hint="eastAsia" w:ascii="仿宋" w:hAnsi="仿宋" w:eastAsia="仿宋" w:cs="仿宋"/>
          <w:spacing w:val="11"/>
          <w:sz w:val="24"/>
          <w:szCs w:val="24"/>
          <w:highlight w:val="none"/>
        </w:rPr>
        <w:t>：</w:t>
      </w:r>
    </w:p>
    <w:p>
      <w:pPr>
        <w:spacing w:before="0" w:beforeLines="50" w:afterLines="50" w:line="360" w:lineRule="auto"/>
        <w:ind w:left="0"/>
        <w:outlineLvl w:val="9"/>
        <w:rPr>
          <w:rFonts w:hint="eastAsia" w:ascii="仿宋" w:hAnsi="仿宋" w:eastAsia="仿宋" w:cs="仿宋"/>
          <w:b/>
          <w:bCs/>
          <w:sz w:val="24"/>
          <w:szCs w:val="24"/>
          <w:highlight w:val="none"/>
        </w:rPr>
      </w:pPr>
      <w:r>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t>第</w:t>
      </w:r>
      <w:r>
        <w:rPr>
          <w:rFonts w:hint="eastAsia" w:ascii="仿宋" w:hAnsi="仿宋" w:eastAsia="仿宋" w:cs="仿宋"/>
          <w:b/>
          <w:bCs/>
          <w:spacing w:val="16"/>
          <w:sz w:val="24"/>
          <w:szCs w:val="24"/>
          <w:highlight w:val="none"/>
          <w14:textOutline w14:w="4358" w14:cap="sq" w14:cmpd="sng">
            <w14:solidFill>
              <w14:srgbClr w14:val="000000"/>
            </w14:solidFill>
            <w14:prstDash w14:val="solid"/>
            <w14:bevel/>
          </w14:textOutline>
        </w:rPr>
        <w:t>一条</w:t>
      </w:r>
      <w:r>
        <w:rPr>
          <w:rFonts w:hint="eastAsia" w:ascii="仿宋" w:hAnsi="仿宋" w:eastAsia="仿宋" w:cs="仿宋"/>
          <w:b/>
          <w:bCs/>
          <w:spacing w:val="16"/>
          <w:sz w:val="24"/>
          <w:szCs w:val="24"/>
          <w:highlight w:val="none"/>
          <w:u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b/>
          <w:bCs/>
          <w:spacing w:val="16"/>
          <w:sz w:val="24"/>
          <w:szCs w:val="24"/>
          <w:highlight w:val="none"/>
          <w14:textOutline w14:w="4358" w14:cap="sq" w14:cmpd="sng">
            <w14:solidFill>
              <w14:srgbClr w14:val="000000"/>
            </w14:solidFill>
            <w14:prstDash w14:val="solid"/>
            <w14:bevel/>
          </w14:textOutline>
        </w:rPr>
        <w:t>交易服务内容</w:t>
      </w:r>
    </w:p>
    <w:p>
      <w:pPr>
        <w:pStyle w:val="13"/>
        <w:widowControl/>
        <w:spacing w:beforeAutospacing="0" w:afterAutospacing="0" w:line="360" w:lineRule="auto"/>
        <w:ind w:firstLine="524" w:firstLineChars="200"/>
        <w:rPr>
          <w:rFonts w:hint="eastAsia" w:ascii="仿宋" w:hAnsi="仿宋" w:eastAsia="仿宋" w:cs="仿宋"/>
          <w:spacing w:val="11"/>
          <w:kern w:val="2"/>
          <w:szCs w:val="24"/>
          <w:highlight w:val="none"/>
        </w:rPr>
      </w:pPr>
      <w:r>
        <w:rPr>
          <w:rFonts w:hint="eastAsia" w:ascii="仿宋" w:hAnsi="仿宋" w:eastAsia="仿宋" w:cs="仿宋"/>
          <w:spacing w:val="11"/>
          <w:kern w:val="2"/>
          <w:szCs w:val="24"/>
          <w:highlight w:val="none"/>
        </w:rPr>
        <w:t>本协议所述交易服务内容，是指乙方</w:t>
      </w:r>
      <w:r>
        <w:rPr>
          <w:rFonts w:hint="eastAsia" w:ascii="仿宋" w:hAnsi="仿宋" w:eastAsia="仿宋" w:cs="仿宋"/>
          <w:spacing w:val="11"/>
          <w:kern w:val="2"/>
          <w:szCs w:val="24"/>
          <w:highlight w:val="none"/>
          <w:lang w:val="en-US" w:eastAsia="zh-CN"/>
        </w:rPr>
        <w:t>通过现场、传真或互联网网上自助式交易服务系统等方式</w:t>
      </w:r>
      <w:r>
        <w:rPr>
          <w:rFonts w:hint="eastAsia" w:ascii="仿宋" w:hAnsi="仿宋" w:eastAsia="仿宋" w:cs="仿宋"/>
          <w:spacing w:val="11"/>
          <w:kern w:val="2"/>
          <w:szCs w:val="24"/>
          <w:highlight w:val="none"/>
        </w:rPr>
        <w:t>为投资者提供相关交易、清算、查询等服务，包括：基金账户/基金交易账户开户/销户、资料修改、基金认购/申购/赎回/撒单/基金转换/基金分红方式变更、交易密码修改等交易类、账户类业务，</w:t>
      </w:r>
      <w:r>
        <w:rPr>
          <w:rFonts w:hint="eastAsia" w:ascii="仿宋" w:hAnsi="仿宋" w:eastAsia="仿宋" w:cs="仿宋"/>
          <w:spacing w:val="11"/>
          <w:kern w:val="2"/>
          <w:szCs w:val="24"/>
          <w:highlight w:val="none"/>
          <w:lang w:val="en-US" w:eastAsia="zh-CN"/>
        </w:rPr>
        <w:t>以及</w:t>
      </w:r>
      <w:r>
        <w:rPr>
          <w:rFonts w:hint="eastAsia" w:ascii="仿宋" w:hAnsi="仿宋" w:eastAsia="仿宋" w:cs="仿宋"/>
          <w:spacing w:val="11"/>
          <w:kern w:val="2"/>
          <w:szCs w:val="24"/>
          <w:highlight w:val="none"/>
        </w:rPr>
        <w:t>当日</w:t>
      </w:r>
      <w:r>
        <w:rPr>
          <w:rFonts w:hint="eastAsia" w:ascii="仿宋" w:hAnsi="仿宋" w:eastAsia="仿宋" w:cs="仿宋"/>
          <w:spacing w:val="11"/>
          <w:kern w:val="2"/>
          <w:szCs w:val="24"/>
          <w:highlight w:val="none"/>
          <w:lang w:eastAsia="zh-CN"/>
        </w:rPr>
        <w:t>、</w:t>
      </w:r>
      <w:r>
        <w:rPr>
          <w:rFonts w:hint="eastAsia" w:ascii="仿宋" w:hAnsi="仿宋" w:eastAsia="仿宋" w:cs="仿宋"/>
          <w:spacing w:val="11"/>
          <w:kern w:val="2"/>
          <w:szCs w:val="24"/>
          <w:highlight w:val="none"/>
        </w:rPr>
        <w:t>历史交易记录</w:t>
      </w:r>
      <w:r>
        <w:rPr>
          <w:rFonts w:hint="eastAsia" w:ascii="仿宋" w:hAnsi="仿宋" w:eastAsia="仿宋" w:cs="仿宋"/>
          <w:spacing w:val="11"/>
          <w:kern w:val="2"/>
          <w:szCs w:val="24"/>
          <w:highlight w:val="none"/>
          <w:lang w:val="en-US" w:eastAsia="zh-CN"/>
        </w:rPr>
        <w:t>查询等</w:t>
      </w:r>
      <w:r>
        <w:rPr>
          <w:rFonts w:hint="eastAsia" w:ascii="仿宋" w:hAnsi="仿宋" w:eastAsia="仿宋" w:cs="仿宋"/>
          <w:spacing w:val="11"/>
          <w:kern w:val="2"/>
          <w:szCs w:val="24"/>
          <w:highlight w:val="none"/>
        </w:rPr>
        <w:t>其它相关服务。</w:t>
      </w:r>
    </w:p>
    <w:p>
      <w:pPr>
        <w:spacing w:before="0" w:beforeLines="50" w:afterLines="50" w:line="360" w:lineRule="auto"/>
        <w:ind w:left="0"/>
        <w:outlineLvl w:val="9"/>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t>第二条</w:t>
      </w:r>
      <w:r>
        <w:rPr>
          <w:rFonts w:hint="eastAsia" w:ascii="仿宋" w:hAnsi="仿宋" w:eastAsia="仿宋" w:cs="仿宋"/>
          <w:b/>
          <w:bCs/>
          <w:spacing w:val="23"/>
          <w:sz w:val="24"/>
          <w:szCs w:val="24"/>
          <w:highlight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t>风险提示</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1、甲方自愿申请使用乙方交易</w:t>
      </w:r>
      <w:r>
        <w:rPr>
          <w:rFonts w:hint="eastAsia" w:ascii="仿宋" w:hAnsi="仿宋" w:eastAsia="仿宋" w:cs="仿宋"/>
          <w:spacing w:val="11"/>
          <w:sz w:val="24"/>
          <w:szCs w:val="24"/>
          <w:highlight w:val="none"/>
          <w:lang w:val="en-US" w:eastAsia="zh-CN"/>
        </w:rPr>
        <w:t>服务</w:t>
      </w:r>
      <w:r>
        <w:rPr>
          <w:rFonts w:hint="eastAsia" w:ascii="仿宋" w:hAnsi="仿宋" w:eastAsia="仿宋" w:cs="仿宋"/>
          <w:spacing w:val="11"/>
          <w:sz w:val="24"/>
          <w:szCs w:val="24"/>
          <w:highlight w:val="none"/>
        </w:rPr>
        <w:t>系统，即被认为已经完全了解交易的风险，并能够承担由此可能带来的损失。</w:t>
      </w:r>
    </w:p>
    <w:p>
      <w:pPr>
        <w:spacing w:before="0" w:line="360" w:lineRule="auto"/>
        <w:ind w:left="0" w:right="0" w:firstLine="524" w:firstLineChars="200"/>
        <w:rPr>
          <w:rFonts w:hint="eastAsia" w:ascii="仿宋" w:hAnsi="仿宋" w:eastAsia="仿宋" w:cs="仿宋"/>
          <w:spacing w:val="11"/>
          <w:sz w:val="24"/>
          <w:szCs w:val="24"/>
          <w:highlight w:val="none"/>
          <w:lang w:val="en-US" w:eastAsia="zh-CN"/>
        </w:rPr>
      </w:pPr>
      <w:r>
        <w:rPr>
          <w:rFonts w:hint="eastAsia" w:ascii="仿宋" w:hAnsi="仿宋" w:eastAsia="仿宋" w:cs="仿宋"/>
          <w:spacing w:val="11"/>
          <w:sz w:val="24"/>
          <w:szCs w:val="24"/>
          <w:highlight w:val="none"/>
        </w:rPr>
        <w:t>2、乙方已最大限度地采取了有效措施保护甲方资料和交易活动的安全。尽管如此，本着对客户负责的态度，</w:t>
      </w:r>
      <w:r>
        <w:rPr>
          <w:rFonts w:hint="eastAsia" w:ascii="仿宋" w:hAnsi="仿宋" w:eastAsia="仿宋" w:cs="仿宋"/>
          <w:b/>
          <w:bCs/>
          <w:spacing w:val="11"/>
          <w:sz w:val="24"/>
          <w:szCs w:val="24"/>
          <w:highlight w:val="none"/>
        </w:rPr>
        <w:t>乙方在此郑重提示，交易仍然存在风险，该风险包括但不限于</w:t>
      </w:r>
      <w:r>
        <w:rPr>
          <w:rFonts w:hint="eastAsia" w:ascii="仿宋" w:hAnsi="仿宋" w:eastAsia="仿宋" w:cs="仿宋"/>
          <w:spacing w:val="11"/>
          <w:sz w:val="24"/>
          <w:szCs w:val="24"/>
          <w:highlight w:val="none"/>
        </w:rPr>
        <w:t>：</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(1)互联网是全球公共网络，并不受任何一个机构所控制。数据在互联网上传输的途径不是完全确定的，互联网本身并不是绝对安全可靠的环境。</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(2)在互联网上传输的数据有可能被某些未经许可的个人、团体或机构通过某种渠道获得或篡改。</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(3)互联网上的数据传输可能因通信繁忙出现延迟，或因其他原因出现中断、停顿或数据不完全、数据错误等情况，从而使交易出现延迟、中断或停顿。</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(4)互联网上发布的各种信息(包括但不限于分析、预测性的参考资料)可能出现错误并对甲方产生或造成误导。</w:t>
      </w:r>
    </w:p>
    <w:p>
      <w:pPr>
        <w:spacing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(5)甲方的交易身份可能会被泄露或仿冒。</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(6)甲方自身计算机性能、质量、病毒、故障及其他原因，可能对甲方的交易时间或交易数据造成影响，给甲方造成损失。</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(7)由于甲方的计算机应用操作能力或互联网知识的缺乏，可能对甲方的交易时间或交易数据造成影响，因此给甲方造成损失。</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(8)因甲方自身的疏忽造成账号或密码泄露，可能会给甲方造成损失。</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(9)甲方为机构投资者时，由于甲方业务经办人员离职、密码未及时修改，可能给甲方造成损失。</w:t>
      </w:r>
    </w:p>
    <w:p>
      <w:pPr>
        <w:spacing w:line="360" w:lineRule="auto"/>
        <w:ind w:firstLine="524" w:firstLineChars="200"/>
        <w:rPr>
          <w:rFonts w:hint="eastAsia" w:ascii="仿宋" w:hAnsi="仿宋" w:eastAsia="仿宋" w:cs="仿宋"/>
          <w:spacing w:val="11"/>
          <w:sz w:val="24"/>
          <w:szCs w:val="24"/>
          <w:highlight w:val="none"/>
          <w:lang w:val="en-US" w:eastAsia="zh-CN"/>
        </w:rPr>
      </w:pPr>
      <w:r>
        <w:rPr>
          <w:rFonts w:hint="eastAsia" w:ascii="仿宋" w:hAnsi="仿宋" w:eastAsia="仿宋" w:cs="仿宋"/>
          <w:spacing w:val="11"/>
          <w:sz w:val="24"/>
          <w:szCs w:val="24"/>
          <w:highlight w:val="none"/>
        </w:rPr>
        <w:t>(10)由于不可抗力导致的其它风险。</w:t>
      </w:r>
    </w:p>
    <w:p>
      <w:pPr>
        <w:spacing w:before="0" w:beforeLines="50" w:afterLines="50" w:line="360" w:lineRule="auto"/>
        <w:ind w:left="0"/>
        <w:outlineLvl w:val="9"/>
        <w:rPr>
          <w:rFonts w:hint="eastAsia" w:ascii="仿宋" w:hAnsi="仿宋" w:eastAsia="仿宋" w:cs="仿宋"/>
          <w:b/>
          <w:bCs/>
          <w:color w:val="auto"/>
          <w:spacing w:val="23"/>
          <w:sz w:val="24"/>
          <w:szCs w:val="24"/>
          <w:highlight w:val="none"/>
          <w:shd w:val="clear" w:color="auto" w:fill="auto"/>
          <w14:textOutline w14:w="4358" w14:cap="sq" w14:cmpd="sng">
            <w14:solidFill>
              <w14:srgbClr w14:val="000000"/>
            </w14:solidFill>
            <w14:prstDash w14:val="solid"/>
            <w14:bevel/>
          </w14:textOutline>
        </w:rPr>
      </w:pPr>
      <w:r>
        <w:rPr>
          <w:rFonts w:hint="eastAsia" w:ascii="仿宋" w:hAnsi="仿宋" w:eastAsia="仿宋" w:cs="仿宋"/>
          <w:b/>
          <w:bCs/>
          <w:color w:val="auto"/>
          <w:spacing w:val="23"/>
          <w:sz w:val="24"/>
          <w:szCs w:val="24"/>
          <w:highlight w:val="none"/>
          <w:shd w:val="clear" w:color="auto" w:fill="auto"/>
          <w14:textOutline w14:w="4358" w14:cap="sq" w14:cmpd="sng">
            <w14:solidFill>
              <w14:srgbClr w14:val="000000"/>
            </w14:solidFill>
            <w14:prstDash w14:val="solid"/>
            <w14:bevel/>
          </w14:textOutline>
        </w:rPr>
        <w:t>第三条</w:t>
      </w:r>
      <w:r>
        <w:rPr>
          <w:rFonts w:hint="eastAsia" w:ascii="仿宋" w:hAnsi="仿宋" w:eastAsia="仿宋" w:cs="仿宋"/>
          <w:b/>
          <w:bCs/>
          <w:color w:val="auto"/>
          <w:spacing w:val="23"/>
          <w:sz w:val="24"/>
          <w:szCs w:val="24"/>
          <w:highlight w:val="none"/>
          <w:shd w:val="clear" w:color="auto" w:fill="auto"/>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b/>
          <w:bCs/>
          <w:color w:val="auto"/>
          <w:spacing w:val="23"/>
          <w:sz w:val="24"/>
          <w:szCs w:val="24"/>
          <w:highlight w:val="none"/>
          <w:shd w:val="clear" w:color="auto" w:fill="auto"/>
          <w14:textOutline w14:w="4358" w14:cap="sq" w14:cmpd="sng">
            <w14:solidFill>
              <w14:srgbClr w14:val="000000"/>
            </w14:solidFill>
            <w14:prstDash w14:val="solid"/>
            <w14:bevel/>
          </w14:textOutline>
        </w:rPr>
        <w:t>甲方承诺</w:t>
      </w:r>
    </w:p>
    <w:p>
      <w:pPr>
        <w:spacing w:before="0" w:line="360" w:lineRule="auto"/>
        <w:ind w:left="0" w:right="0" w:firstLine="526" w:firstLineChars="200"/>
        <w:rPr>
          <w:rFonts w:hint="eastAsia" w:ascii="仿宋" w:hAnsi="仿宋" w:eastAsia="仿宋" w:cs="仿宋"/>
          <w:b/>
          <w:bCs/>
          <w:spacing w:val="8"/>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b/>
          <w:bCs/>
          <w:spacing w:val="11"/>
          <w:sz w:val="24"/>
          <w:szCs w:val="24"/>
          <w:highlight w:val="none"/>
        </w:rPr>
        <w:t>1、甲方已充分、完全、准确地了解使用交易</w:t>
      </w:r>
      <w:r>
        <w:rPr>
          <w:rFonts w:hint="eastAsia" w:ascii="仿宋" w:hAnsi="仿宋" w:eastAsia="仿宋" w:cs="仿宋"/>
          <w:b/>
          <w:bCs/>
          <w:spacing w:val="11"/>
          <w:sz w:val="24"/>
          <w:szCs w:val="24"/>
          <w:highlight w:val="none"/>
          <w:lang w:val="en-US" w:eastAsia="zh-CN"/>
        </w:rPr>
        <w:t>服务</w:t>
      </w:r>
      <w:r>
        <w:rPr>
          <w:rFonts w:hint="eastAsia" w:ascii="仿宋" w:hAnsi="仿宋" w:eastAsia="仿宋" w:cs="仿宋"/>
          <w:b/>
          <w:bCs/>
          <w:spacing w:val="11"/>
          <w:sz w:val="24"/>
          <w:szCs w:val="24"/>
          <w:highlight w:val="none"/>
        </w:rPr>
        <w:t>系统可能遭受的风险，并自愿承担因该种风险而可能导致的损失。</w:t>
      </w:r>
    </w:p>
    <w:p>
      <w:pPr>
        <w:spacing w:before="0" w:line="360" w:lineRule="auto"/>
        <w:ind w:left="0" w:right="0" w:firstLine="526" w:firstLineChars="200"/>
        <w:rPr>
          <w:rFonts w:hint="eastAsia" w:ascii="仿宋" w:hAnsi="仿宋" w:eastAsia="仿宋" w:cs="仿宋"/>
          <w:b/>
          <w:bCs/>
          <w:spacing w:val="11"/>
          <w:sz w:val="24"/>
          <w:szCs w:val="24"/>
          <w:highlight w:val="none"/>
        </w:rPr>
      </w:pPr>
      <w:r>
        <w:rPr>
          <w:rFonts w:hint="eastAsia" w:ascii="仿宋" w:hAnsi="仿宋" w:eastAsia="仿宋" w:cs="仿宋"/>
          <w:b/>
          <w:bCs/>
          <w:spacing w:val="11"/>
          <w:sz w:val="24"/>
          <w:szCs w:val="24"/>
          <w:highlight w:val="none"/>
        </w:rPr>
        <w:t>2、甲方确认</w:t>
      </w:r>
      <w:r>
        <w:rPr>
          <w:rFonts w:hint="eastAsia" w:ascii="仿宋" w:hAnsi="仿宋" w:eastAsia="仿宋" w:cs="仿宋"/>
          <w:b/>
          <w:bCs/>
          <w:spacing w:val="11"/>
          <w:sz w:val="24"/>
          <w:szCs w:val="24"/>
          <w:highlight w:val="none"/>
          <w:lang w:eastAsia="zh-CN"/>
        </w:rPr>
        <w:t>，</w:t>
      </w:r>
      <w:r>
        <w:rPr>
          <w:rFonts w:hint="eastAsia" w:ascii="仿宋" w:hAnsi="仿宋" w:eastAsia="仿宋" w:cs="仿宋"/>
          <w:b/>
          <w:bCs/>
          <w:spacing w:val="11"/>
          <w:sz w:val="24"/>
          <w:szCs w:val="24"/>
          <w:highlight w:val="none"/>
        </w:rPr>
        <w:t>乙方已经将本协议置放于交易服务流程中显著位置,甲方已于本协议签署之前就本协议内容进行充分了解，已准确把握交易性质及协议内容，并仔细阅读、准确了解本协议中的所有条款及其法律意义，若甲方对本协议任何内容持有异议，甲方将放弃签署本协议。甲方继续使用乙方后续服务的行为即表明甲方接受本协议所有条款及其后续变更内容。</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3、甲方如购买非公募产品的，需符合《证券期货经营机构私募资产管理计划运作管理规定》、《关于规范金融机构资产管理业务的指导意见》、《私募投资基金监督管理暂行办法》等相关规定中的合格投资者要求，并按照乙方要求向乙方提供资产证明、收入证明或者纳税凭证等证明文件，以便乙方对甲方风险识别能力和风险承担能力进行评估。甲方并非法律法规、政府部门有关规定及基金合同规定的不得持有基金之主体，也并非代表该等主体；甲方一旦成为上述不得持有基金之主体，将立刻通知乙方；否则甲方将承担因此而导致的包括但不限于乙方因此遭受的损失或费用。</w:t>
      </w:r>
    </w:p>
    <w:p>
      <w:pPr>
        <w:spacing w:line="360" w:lineRule="auto"/>
        <w:ind w:left="0" w:right="0" w:firstLine="526" w:firstLineChars="200"/>
        <w:rPr>
          <w:rFonts w:hint="eastAsia" w:ascii="仿宋" w:hAnsi="仿宋" w:eastAsia="仿宋" w:cs="仿宋"/>
          <w:spacing w:val="11"/>
          <w:sz w:val="24"/>
          <w:szCs w:val="24"/>
          <w:highlight w:val="none"/>
        </w:rPr>
      </w:pPr>
      <w:r>
        <w:rPr>
          <w:rFonts w:hint="eastAsia" w:ascii="仿宋" w:hAnsi="仿宋" w:eastAsia="仿宋" w:cs="仿宋"/>
          <w:b/>
          <w:bCs/>
          <w:spacing w:val="11"/>
          <w:sz w:val="24"/>
          <w:szCs w:val="24"/>
          <w:highlight w:val="none"/>
        </w:rPr>
        <w:t>4、甲方在申请</w:t>
      </w:r>
      <w:r>
        <w:rPr>
          <w:rFonts w:hint="eastAsia" w:ascii="仿宋" w:hAnsi="仿宋" w:eastAsia="仿宋" w:cs="仿宋"/>
          <w:b/>
          <w:bCs/>
          <w:spacing w:val="11"/>
          <w:sz w:val="24"/>
          <w:szCs w:val="24"/>
          <w:highlight w:val="none"/>
          <w:lang w:val="en-US" w:eastAsia="zh-CN"/>
        </w:rPr>
        <w:t>注册</w:t>
      </w:r>
      <w:r>
        <w:rPr>
          <w:rFonts w:hint="eastAsia" w:ascii="仿宋" w:hAnsi="仿宋" w:eastAsia="仿宋" w:cs="仿宋"/>
          <w:b/>
          <w:bCs/>
          <w:spacing w:val="11"/>
          <w:sz w:val="24"/>
          <w:szCs w:val="24"/>
          <w:highlight w:val="none"/>
        </w:rPr>
        <w:t>乙方</w:t>
      </w:r>
      <w:r>
        <w:rPr>
          <w:rFonts w:hint="eastAsia" w:ascii="仿宋" w:hAnsi="仿宋" w:eastAsia="仿宋" w:cs="仿宋"/>
          <w:b/>
          <w:bCs/>
          <w:spacing w:val="11"/>
          <w:sz w:val="24"/>
          <w:szCs w:val="24"/>
          <w:highlight w:val="none"/>
          <w:lang w:val="en-US" w:eastAsia="zh-CN"/>
        </w:rPr>
        <w:t>基金</w:t>
      </w:r>
      <w:r>
        <w:rPr>
          <w:rFonts w:hint="eastAsia" w:ascii="仿宋" w:hAnsi="仿宋" w:eastAsia="仿宋" w:cs="仿宋"/>
          <w:b/>
          <w:bCs/>
          <w:spacing w:val="11"/>
          <w:sz w:val="24"/>
          <w:szCs w:val="24"/>
          <w:highlight w:val="none"/>
        </w:rPr>
        <w:t>交易账户时，向乙方提供的相关信息资料是真实、准确、最新、有效及完整的。</w:t>
      </w:r>
      <w:r>
        <w:rPr>
          <w:rFonts w:hint="eastAsia" w:ascii="仿宋" w:hAnsi="仿宋" w:eastAsia="仿宋" w:cs="仿宋"/>
          <w:spacing w:val="11"/>
          <w:sz w:val="24"/>
          <w:szCs w:val="24"/>
          <w:highlight w:val="none"/>
        </w:rPr>
        <w:t>乙方有权要求甲方提供相关证件的原件以供核对、登记。甲方自行承担维护及更新本人资料的义务，若上述资料变更或者注销</w:t>
      </w:r>
      <w:r>
        <w:rPr>
          <w:rFonts w:hint="eastAsia" w:ascii="仿宋" w:hAnsi="仿宋" w:eastAsia="仿宋" w:cs="仿宋"/>
          <w:spacing w:val="11"/>
          <w:sz w:val="24"/>
          <w:szCs w:val="24"/>
          <w:highlight w:val="none"/>
          <w:lang w:eastAsia="zh-CN"/>
        </w:rPr>
        <w:t>，</w:t>
      </w:r>
      <w:r>
        <w:rPr>
          <w:rFonts w:hint="eastAsia" w:ascii="仿宋" w:hAnsi="仿宋" w:eastAsia="仿宋" w:cs="仿宋"/>
          <w:spacing w:val="11"/>
          <w:sz w:val="24"/>
          <w:szCs w:val="24"/>
          <w:highlight w:val="none"/>
        </w:rPr>
        <w:t>甲方应及时、主动告知乙方并进行变更，否则乙方有权采取包括但不限于拒绝向甲方提供部分或全部交易服务、单方解除本协议等措施，甲方自行承担因此造成的一切后果。</w:t>
      </w:r>
    </w:p>
    <w:p>
      <w:pPr>
        <w:spacing w:before="0" w:line="360" w:lineRule="auto"/>
        <w:ind w:left="0" w:right="0" w:firstLine="526" w:firstLineChars="200"/>
        <w:rPr>
          <w:rFonts w:hint="eastAsia" w:ascii="仿宋" w:hAnsi="仿宋" w:eastAsia="仿宋" w:cs="仿宋"/>
          <w:spacing w:val="11"/>
          <w:sz w:val="24"/>
          <w:szCs w:val="24"/>
          <w:highlight w:val="none"/>
        </w:rPr>
      </w:pPr>
      <w:r>
        <w:rPr>
          <w:rFonts w:hint="eastAsia" w:ascii="仿宋" w:hAnsi="仿宋" w:eastAsia="仿宋" w:cs="仿宋"/>
          <w:b/>
          <w:bCs/>
          <w:spacing w:val="11"/>
          <w:sz w:val="24"/>
          <w:szCs w:val="24"/>
          <w:highlight w:val="none"/>
        </w:rPr>
        <w:t>若甲方为自然人，</w:t>
      </w:r>
      <w:r>
        <w:rPr>
          <w:rFonts w:hint="eastAsia" w:ascii="仿宋" w:hAnsi="仿宋" w:eastAsia="仿宋" w:cs="仿宋"/>
          <w:spacing w:val="11"/>
          <w:sz w:val="24"/>
          <w:szCs w:val="24"/>
          <w:highlight w:val="none"/>
        </w:rPr>
        <w:t>则甲方需要提供的信息资料包括但不限于姓名、证件类型、证件号码、证件有效期</w:t>
      </w:r>
      <w:r>
        <w:rPr>
          <w:rFonts w:hint="eastAsia" w:ascii="仿宋" w:hAnsi="仿宋" w:eastAsia="仿宋" w:cs="仿宋"/>
          <w:spacing w:val="11"/>
          <w:sz w:val="24"/>
          <w:szCs w:val="24"/>
          <w:highlight w:val="none"/>
          <w:lang w:val="en-US" w:eastAsia="zh-CN"/>
        </w:rPr>
        <w:t>限</w:t>
      </w:r>
      <w:r>
        <w:rPr>
          <w:rFonts w:hint="eastAsia" w:ascii="仿宋" w:hAnsi="仿宋" w:eastAsia="仿宋" w:cs="仿宋"/>
          <w:spacing w:val="11"/>
          <w:sz w:val="24"/>
          <w:szCs w:val="24"/>
          <w:highlight w:val="none"/>
        </w:rPr>
        <w:t>、银行账号以及银行预留手机号码、职业、住址、联系方式等乙方要求的必要信息及相关证件复印件或影印件。</w:t>
      </w:r>
    </w:p>
    <w:p>
      <w:pPr>
        <w:spacing w:before="0" w:line="360" w:lineRule="auto"/>
        <w:ind w:left="0" w:right="0" w:firstLine="526" w:firstLineChars="200"/>
        <w:rPr>
          <w:rFonts w:hint="eastAsia" w:ascii="仿宋" w:hAnsi="仿宋" w:eastAsia="仿宋" w:cs="仿宋"/>
          <w:spacing w:val="11"/>
          <w:sz w:val="24"/>
          <w:szCs w:val="24"/>
          <w:highlight w:val="none"/>
        </w:rPr>
      </w:pPr>
      <w:r>
        <w:rPr>
          <w:rFonts w:hint="eastAsia" w:ascii="仿宋" w:hAnsi="仿宋" w:eastAsia="仿宋" w:cs="仿宋"/>
          <w:b/>
          <w:bCs/>
          <w:spacing w:val="11"/>
          <w:sz w:val="24"/>
          <w:szCs w:val="24"/>
          <w:highlight w:val="none"/>
        </w:rPr>
        <w:t>若甲方为</w:t>
      </w:r>
      <w:r>
        <w:rPr>
          <w:rFonts w:hint="eastAsia" w:ascii="仿宋" w:hAnsi="仿宋" w:eastAsia="仿宋" w:cs="仿宋"/>
          <w:b/>
          <w:bCs/>
          <w:i w:val="0"/>
          <w:iCs w:val="0"/>
          <w:caps w:val="0"/>
          <w:spacing w:val="11"/>
          <w:sz w:val="24"/>
          <w:szCs w:val="24"/>
          <w:highlight w:val="none"/>
          <w:shd w:val="clear"/>
        </w:rPr>
        <w:t>经有关金融监管部门批准设立的金融机构，包括证券公司、期货公司、基金管理公司及其子公司、商业银行、保险公司、信托公司、财务公司等；经行业协会备案或者登记的证券公司子公司、期货公司子公司、私募基金管理人</w:t>
      </w:r>
      <w:r>
        <w:rPr>
          <w:rFonts w:hint="eastAsia" w:ascii="仿宋" w:hAnsi="仿宋" w:eastAsia="仿宋" w:cs="仿宋"/>
          <w:b/>
          <w:bCs/>
          <w:spacing w:val="11"/>
          <w:sz w:val="24"/>
          <w:szCs w:val="24"/>
          <w:highlight w:val="none"/>
          <w:lang w:val="en-US" w:eastAsia="zh-CN"/>
        </w:rPr>
        <w:t>（包含上述机构面向投资者发行的产品）</w:t>
      </w:r>
      <w:r>
        <w:rPr>
          <w:rFonts w:hint="eastAsia" w:ascii="仿宋" w:hAnsi="仿宋" w:eastAsia="仿宋" w:cs="仿宋"/>
          <w:b/>
          <w:bCs/>
          <w:spacing w:val="11"/>
          <w:sz w:val="24"/>
          <w:szCs w:val="24"/>
          <w:highlight w:val="none"/>
        </w:rPr>
        <w:t>，</w:t>
      </w:r>
      <w:r>
        <w:rPr>
          <w:rFonts w:hint="eastAsia" w:ascii="仿宋" w:hAnsi="仿宋" w:eastAsia="仿宋" w:cs="仿宋"/>
          <w:spacing w:val="11"/>
          <w:sz w:val="24"/>
          <w:szCs w:val="24"/>
          <w:highlight w:val="none"/>
        </w:rPr>
        <w:t>则甲方需要提供的信息资料包括但不限于营业执照、法定代表人/授权代理人身份证明文件、授权文书、金融资质证明、</w:t>
      </w:r>
      <w:r>
        <w:rPr>
          <w:rFonts w:hint="eastAsia" w:ascii="仿宋" w:hAnsi="仿宋" w:eastAsia="仿宋" w:cs="仿宋"/>
          <w:spacing w:val="11"/>
          <w:sz w:val="24"/>
          <w:szCs w:val="24"/>
          <w:highlight w:val="none"/>
          <w:lang w:val="en-US" w:eastAsia="zh-CN"/>
        </w:rPr>
        <w:t>发行的</w:t>
      </w:r>
      <w:r>
        <w:rPr>
          <w:rFonts w:hint="eastAsia" w:ascii="仿宋" w:hAnsi="仿宋" w:eastAsia="仿宋" w:cs="仿宋"/>
          <w:spacing w:val="11"/>
          <w:sz w:val="24"/>
          <w:szCs w:val="24"/>
          <w:highlight w:val="none"/>
        </w:rPr>
        <w:t>产品备案</w:t>
      </w:r>
      <w:r>
        <w:rPr>
          <w:rFonts w:hint="eastAsia" w:ascii="仿宋" w:hAnsi="仿宋" w:eastAsia="仿宋" w:cs="仿宋"/>
          <w:spacing w:val="11"/>
          <w:sz w:val="24"/>
          <w:szCs w:val="24"/>
          <w:highlight w:val="none"/>
          <w:lang w:val="en-US" w:eastAsia="zh-CN"/>
        </w:rPr>
        <w:t>及成立</w:t>
      </w:r>
      <w:r>
        <w:rPr>
          <w:rFonts w:hint="eastAsia" w:ascii="仿宋" w:hAnsi="仿宋" w:eastAsia="仿宋" w:cs="仿宋"/>
          <w:spacing w:val="11"/>
          <w:sz w:val="24"/>
          <w:szCs w:val="24"/>
          <w:highlight w:val="none"/>
        </w:rPr>
        <w:t>证明文件</w:t>
      </w:r>
      <w:r>
        <w:rPr>
          <w:rFonts w:hint="eastAsia" w:ascii="仿宋" w:hAnsi="仿宋" w:eastAsia="仿宋" w:cs="仿宋"/>
          <w:spacing w:val="11"/>
          <w:sz w:val="24"/>
          <w:szCs w:val="24"/>
          <w:highlight w:val="none"/>
          <w:lang w:eastAsia="zh-CN"/>
        </w:rPr>
        <w:t>（</w:t>
      </w:r>
      <w:r>
        <w:rPr>
          <w:rFonts w:hint="eastAsia" w:ascii="仿宋" w:hAnsi="仿宋" w:eastAsia="仿宋" w:cs="仿宋"/>
          <w:spacing w:val="11"/>
          <w:sz w:val="24"/>
          <w:szCs w:val="24"/>
          <w:highlight w:val="none"/>
          <w:lang w:val="en-US" w:eastAsia="zh-CN"/>
        </w:rPr>
        <w:t>如需</w:t>
      </w:r>
      <w:r>
        <w:rPr>
          <w:rFonts w:hint="eastAsia" w:ascii="仿宋" w:hAnsi="仿宋" w:eastAsia="仿宋" w:cs="仿宋"/>
          <w:spacing w:val="11"/>
          <w:sz w:val="24"/>
          <w:szCs w:val="24"/>
          <w:highlight w:val="none"/>
          <w:lang w:eastAsia="zh-CN"/>
        </w:rPr>
        <w:t>）</w:t>
      </w:r>
      <w:r>
        <w:rPr>
          <w:rFonts w:hint="eastAsia" w:ascii="仿宋" w:hAnsi="仿宋" w:eastAsia="仿宋" w:cs="仿宋"/>
          <w:spacing w:val="11"/>
          <w:sz w:val="24"/>
          <w:szCs w:val="24"/>
          <w:highlight w:val="none"/>
        </w:rPr>
        <w:t>、联系方式、受益人信息等乙方要求的信息资料及相关证件的复印件或影印件。</w:t>
      </w:r>
    </w:p>
    <w:p>
      <w:pPr>
        <w:spacing w:before="0" w:line="360" w:lineRule="auto"/>
        <w:ind w:left="0" w:right="0" w:firstLine="526" w:firstLineChars="200"/>
        <w:rPr>
          <w:rFonts w:hint="eastAsia" w:ascii="仿宋" w:hAnsi="仿宋" w:eastAsia="仿宋" w:cs="仿宋"/>
          <w:spacing w:val="11"/>
          <w:sz w:val="24"/>
          <w:szCs w:val="24"/>
          <w:highlight w:val="none"/>
        </w:rPr>
      </w:pPr>
      <w:r>
        <w:rPr>
          <w:rFonts w:hint="eastAsia" w:ascii="仿宋" w:hAnsi="仿宋" w:eastAsia="仿宋" w:cs="仿宋"/>
          <w:b/>
          <w:bCs/>
          <w:spacing w:val="11"/>
          <w:sz w:val="24"/>
          <w:szCs w:val="24"/>
          <w:highlight w:val="none"/>
        </w:rPr>
        <w:t>若甲方为</w:t>
      </w:r>
      <w:r>
        <w:rPr>
          <w:rFonts w:hint="eastAsia" w:ascii="仿宋" w:hAnsi="仿宋" w:eastAsia="仿宋" w:cs="仿宋"/>
          <w:b/>
          <w:bCs/>
          <w:spacing w:val="11"/>
          <w:sz w:val="24"/>
          <w:szCs w:val="24"/>
          <w:highlight w:val="none"/>
          <w:lang w:val="en-US" w:eastAsia="zh-CN"/>
        </w:rPr>
        <w:t>法人或其他组织（除上述机构外）</w:t>
      </w:r>
      <w:r>
        <w:rPr>
          <w:rFonts w:hint="eastAsia" w:ascii="仿宋" w:hAnsi="仿宋" w:eastAsia="仿宋" w:cs="仿宋"/>
          <w:b/>
          <w:bCs/>
          <w:spacing w:val="11"/>
          <w:sz w:val="24"/>
          <w:szCs w:val="24"/>
          <w:highlight w:val="none"/>
        </w:rPr>
        <w:t>，</w:t>
      </w:r>
      <w:r>
        <w:rPr>
          <w:rFonts w:hint="eastAsia" w:ascii="仿宋" w:hAnsi="仿宋" w:eastAsia="仿宋" w:cs="仿宋"/>
          <w:spacing w:val="11"/>
          <w:sz w:val="24"/>
          <w:szCs w:val="24"/>
          <w:highlight w:val="none"/>
        </w:rPr>
        <w:t>则甲方需要提供的信息资料包括但不限于企业名称、营业执照或其他可证明甲方依法设立或者可依法开展经营、社会活动的执照、银行账户信息、法定代表人/授权代理人身份证件或身份证明文件、授权文书、联系方式、受益所有人等乙方要求的信息资料及相关证件复印件或影印件。</w:t>
      </w:r>
    </w:p>
    <w:p>
      <w:pPr>
        <w:spacing w:before="0" w:line="360" w:lineRule="auto"/>
        <w:ind w:left="0" w:right="0" w:firstLine="526" w:firstLineChars="200"/>
        <w:rPr>
          <w:rFonts w:hint="eastAsia" w:ascii="仿宋" w:hAnsi="仿宋" w:eastAsia="仿宋" w:cs="仿宋"/>
          <w:b/>
          <w:bCs/>
          <w:spacing w:val="11"/>
          <w:sz w:val="24"/>
          <w:szCs w:val="24"/>
          <w:highlight w:val="none"/>
        </w:rPr>
      </w:pPr>
      <w:r>
        <w:rPr>
          <w:rFonts w:hint="eastAsia" w:ascii="仿宋" w:hAnsi="仿宋" w:eastAsia="仿宋" w:cs="仿宋"/>
          <w:b/>
          <w:bCs/>
          <w:spacing w:val="11"/>
          <w:sz w:val="24"/>
          <w:szCs w:val="24"/>
          <w:highlight w:val="none"/>
        </w:rPr>
        <w:t>如甲方拒绝提供</w:t>
      </w:r>
      <w:r>
        <w:rPr>
          <w:rFonts w:hint="eastAsia" w:ascii="仿宋" w:hAnsi="仿宋" w:eastAsia="仿宋" w:cs="仿宋"/>
          <w:b/>
          <w:bCs/>
          <w:spacing w:val="11"/>
          <w:sz w:val="24"/>
          <w:szCs w:val="24"/>
          <w:highlight w:val="none"/>
          <w:lang w:val="en-US" w:eastAsia="zh-CN"/>
        </w:rPr>
        <w:t>上述</w:t>
      </w:r>
      <w:r>
        <w:rPr>
          <w:rFonts w:hint="eastAsia" w:ascii="仿宋" w:hAnsi="仿宋" w:eastAsia="仿宋" w:cs="仿宋"/>
          <w:b/>
          <w:bCs/>
          <w:spacing w:val="11"/>
          <w:sz w:val="24"/>
          <w:szCs w:val="24"/>
          <w:highlight w:val="none"/>
        </w:rPr>
        <w:t>文件复印件或影印件的。乙方有权采取包括但不限于拒绝为甲方开户、暂停甲方基金交易账户登录、中止受理甲方基金交易申请等措施，在此情况下，乙方不承担任何责任，并且甲方自行承担因此所产生的直接或间接的任何支出或损失。</w:t>
      </w:r>
    </w:p>
    <w:p>
      <w:pPr>
        <w:spacing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5、若甲方提供错误、虚假、过时或不完整的资料或者乙方依其独立判断怀疑甲方提供的资料为错误、虚假、过时或不完整的，乙方有权暂停或终止甲方的</w:t>
      </w:r>
      <w:r>
        <w:rPr>
          <w:rFonts w:hint="eastAsia" w:ascii="仿宋" w:hAnsi="仿宋" w:eastAsia="仿宋" w:cs="仿宋"/>
          <w:spacing w:val="11"/>
          <w:sz w:val="24"/>
          <w:szCs w:val="24"/>
          <w:highlight w:val="none"/>
          <w:lang w:val="en-US" w:eastAsia="zh-CN"/>
        </w:rPr>
        <w:t>基金</w:t>
      </w:r>
      <w:r>
        <w:rPr>
          <w:rFonts w:hint="eastAsia" w:ascii="仿宋" w:hAnsi="仿宋" w:eastAsia="仿宋" w:cs="仿宋"/>
          <w:spacing w:val="11"/>
          <w:sz w:val="24"/>
          <w:szCs w:val="24"/>
          <w:highlight w:val="none"/>
        </w:rPr>
        <w:t>交易账户，并有权拒绝其使用交易服务的部分或全部功能。在此情况下，乙方不承担任何责任，并且甲方自行承担因此所产生的直接或间接的任何支出或损失。</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6、如因甲方未及时更新自身资料，导致交易服务无法提供或提供时发生任何错误，甲方不得将此作为取消交易或拒绝付款的理由，乙方亦不承担任何责任，所有后果应由甲方承担。</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7、甲方需妥善保管其身份信息及注册信息(包括但不限于姓名、身份证明文件信息、联系方式、交易账户、交易密码等)，不擅自将其转交他人保管或使用，甲方不得通过非乙方交易</w:t>
      </w:r>
      <w:r>
        <w:rPr>
          <w:rFonts w:hint="eastAsia" w:ascii="仿宋" w:hAnsi="仿宋" w:eastAsia="仿宋" w:cs="仿宋"/>
          <w:spacing w:val="11"/>
          <w:sz w:val="24"/>
          <w:szCs w:val="24"/>
          <w:highlight w:val="none"/>
          <w:lang w:val="en-US" w:eastAsia="zh-CN"/>
        </w:rPr>
        <w:t>服务</w:t>
      </w:r>
      <w:r>
        <w:rPr>
          <w:rFonts w:hint="eastAsia" w:ascii="仿宋" w:hAnsi="仿宋" w:eastAsia="仿宋" w:cs="仿宋"/>
          <w:spacing w:val="11"/>
          <w:sz w:val="24"/>
          <w:szCs w:val="24"/>
          <w:highlight w:val="none"/>
        </w:rPr>
        <w:t>系统登录、使用乙方</w:t>
      </w:r>
      <w:r>
        <w:rPr>
          <w:rFonts w:hint="eastAsia" w:ascii="仿宋" w:hAnsi="仿宋" w:eastAsia="仿宋" w:cs="仿宋"/>
          <w:spacing w:val="11"/>
          <w:sz w:val="24"/>
          <w:szCs w:val="24"/>
          <w:highlight w:val="none"/>
          <w:lang w:val="en-US" w:eastAsia="zh-CN"/>
        </w:rPr>
        <w:t>基金</w:t>
      </w:r>
      <w:r>
        <w:rPr>
          <w:rFonts w:hint="eastAsia" w:ascii="仿宋" w:hAnsi="仿宋" w:eastAsia="仿宋" w:cs="仿宋"/>
          <w:spacing w:val="11"/>
          <w:sz w:val="24"/>
          <w:szCs w:val="24"/>
          <w:highlight w:val="none"/>
        </w:rPr>
        <w:t>交易账户，否则因此造成的所有损失和后果，均由甲方自行承担。</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若甲方身份信息及注册信息发生变更或者丢失，甲方应主动告知乙方、及时进行应急处理，并自行承担由此造成的所有损失。</w:t>
      </w:r>
    </w:p>
    <w:p>
      <w:pPr>
        <w:spacing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8、甲方承诺用于投资的资金来源合法，不存在非法汇集他人资金或其他任何瑕疵，并承诺未使用贷款、发行债券等筹集的非自有资金进行投资，否则由此引起的一切责任由甲方自行承担。</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9、甲方承诺合法合规使用乙方的</w:t>
      </w:r>
      <w:r>
        <w:rPr>
          <w:rFonts w:hint="eastAsia" w:ascii="仿宋" w:hAnsi="仿宋" w:eastAsia="仿宋" w:cs="仿宋"/>
          <w:spacing w:val="11"/>
          <w:sz w:val="24"/>
          <w:szCs w:val="24"/>
          <w:highlight w:val="none"/>
          <w:lang w:val="en-US" w:eastAsia="zh-CN"/>
        </w:rPr>
        <w:t>基金</w:t>
      </w:r>
      <w:r>
        <w:rPr>
          <w:rFonts w:hint="eastAsia" w:ascii="仿宋" w:hAnsi="仿宋" w:eastAsia="仿宋" w:cs="仿宋"/>
          <w:spacing w:val="11"/>
          <w:sz w:val="24"/>
          <w:szCs w:val="24"/>
          <w:highlight w:val="none"/>
        </w:rPr>
        <w:t>交易账户，遵守账户实名制规则，不得将自己</w:t>
      </w:r>
      <w:r>
        <w:rPr>
          <w:rFonts w:hint="eastAsia" w:ascii="仿宋" w:hAnsi="仿宋" w:eastAsia="仿宋" w:cs="仿宋"/>
          <w:spacing w:val="11"/>
          <w:sz w:val="24"/>
          <w:szCs w:val="24"/>
          <w:highlight w:val="none"/>
          <w:lang w:val="en-US" w:eastAsia="zh-CN"/>
        </w:rPr>
        <w:t>基金交易</w:t>
      </w:r>
      <w:r>
        <w:rPr>
          <w:rFonts w:hint="eastAsia" w:ascii="仿宋" w:hAnsi="仿宋" w:eastAsia="仿宋" w:cs="仿宋"/>
          <w:spacing w:val="11"/>
          <w:sz w:val="24"/>
          <w:szCs w:val="24"/>
          <w:highlight w:val="none"/>
        </w:rPr>
        <w:t>账户借予他人使用、利用</w:t>
      </w:r>
      <w:r>
        <w:rPr>
          <w:rFonts w:hint="eastAsia" w:ascii="仿宋" w:hAnsi="仿宋" w:eastAsia="仿宋" w:cs="仿宋"/>
          <w:spacing w:val="11"/>
          <w:sz w:val="24"/>
          <w:szCs w:val="24"/>
          <w:highlight w:val="none"/>
          <w:lang w:val="en-US" w:eastAsia="zh-CN"/>
        </w:rPr>
        <w:t>自己的基金</w:t>
      </w:r>
      <w:r>
        <w:rPr>
          <w:rFonts w:hint="eastAsia" w:ascii="仿宋" w:hAnsi="仿宋" w:eastAsia="仿宋" w:cs="仿宋"/>
          <w:spacing w:val="11"/>
          <w:sz w:val="24"/>
          <w:szCs w:val="24"/>
          <w:highlight w:val="none"/>
        </w:rPr>
        <w:t>交易账户为他人代理交易等，否则承担由此给乙方或任何第三方造成的损失。</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10、甲方不得将本协议项下的权利或义务的部分或全部转让给任何第三方。</w:t>
      </w:r>
    </w:p>
    <w:p>
      <w:pPr>
        <w:spacing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11、甲方同意乙方有权根据基金交易业务的需要自动为甲方到基金注册登记机构办理基金账户开户手续，并同意提供在相关基金注册登记机构办理开户所需要的资料。</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12、甲方将确保其用于网上交易的设备的安全性和可靠性。对于因甲方设备故障、通讯故障等原因造成的法律后果和经济损失，均由甲方自行承担。</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13、乙方对甲方网上交易的申请仅做表面真实性审查，凡以甲方的账户、密码登录乙方交易系统并从事网上交易的，均被视为甲方亲自办理相应的业务。甲方有义务采取适当的措施对其自身的账号、密码等信息予以保密，甲方由于自身疏忽或其他原因而致使相关信息失密造成的损失由甲方自行承担，乙方对此不承担任何责任。</w:t>
      </w:r>
    </w:p>
    <w:p>
      <w:pPr>
        <w:spacing w:before="0" w:line="360" w:lineRule="auto"/>
        <w:ind w:left="0" w:firstLine="524" w:firstLineChars="200"/>
        <w:rPr>
          <w:rFonts w:hint="eastAsia" w:ascii="仿宋" w:hAnsi="仿宋" w:eastAsia="仿宋" w:cs="仿宋"/>
          <w:spacing w:val="11"/>
          <w:sz w:val="24"/>
          <w:szCs w:val="24"/>
          <w:highlight w:val="yellow"/>
        </w:rPr>
      </w:pPr>
      <w:r>
        <w:rPr>
          <w:rFonts w:hint="eastAsia" w:ascii="仿宋" w:hAnsi="仿宋" w:eastAsia="仿宋" w:cs="仿宋"/>
          <w:spacing w:val="11"/>
          <w:sz w:val="24"/>
          <w:szCs w:val="24"/>
          <w:highlight w:val="none"/>
        </w:rPr>
        <w:t>14、甲方</w:t>
      </w:r>
      <w:r>
        <w:rPr>
          <w:rFonts w:hint="eastAsia" w:ascii="仿宋" w:hAnsi="仿宋" w:eastAsia="仿宋" w:cs="仿宋"/>
          <w:spacing w:val="11"/>
          <w:sz w:val="24"/>
          <w:szCs w:val="24"/>
          <w:highlight w:val="none"/>
          <w:lang w:val="en-US" w:eastAsia="zh-CN"/>
        </w:rPr>
        <w:t>承诺对其</w:t>
      </w:r>
      <w:r>
        <w:rPr>
          <w:rFonts w:hint="eastAsia" w:ascii="仿宋" w:hAnsi="仿宋" w:eastAsia="仿宋" w:cs="仿宋"/>
          <w:spacing w:val="11"/>
          <w:sz w:val="24"/>
          <w:szCs w:val="24"/>
          <w:highlight w:val="none"/>
        </w:rPr>
        <w:t>账号、密码采取相应的保护、防范措施</w:t>
      </w:r>
      <w:r>
        <w:rPr>
          <w:rFonts w:hint="eastAsia" w:ascii="仿宋" w:hAnsi="仿宋" w:eastAsia="仿宋" w:cs="仿宋"/>
          <w:spacing w:val="11"/>
          <w:sz w:val="24"/>
          <w:szCs w:val="24"/>
          <w:highlight w:val="none"/>
          <w:lang w:eastAsia="zh-CN"/>
        </w:rPr>
        <w:t>，</w:t>
      </w:r>
      <w:r>
        <w:rPr>
          <w:rFonts w:hint="eastAsia" w:ascii="仿宋" w:hAnsi="仿宋" w:eastAsia="仿宋" w:cs="仿宋"/>
          <w:spacing w:val="11"/>
          <w:sz w:val="24"/>
          <w:szCs w:val="24"/>
          <w:highlight w:val="none"/>
        </w:rPr>
        <w:t>甲方在发现或有理由认为存在未被授权的人正在或可能使用其账号、密码时，应立即与乙方联系，否则因此造成的所有损失和后果，由甲方自行承担。</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15、甲方不得以任何方式从事可能对乙方网站或其交易系统造成损害的行为，否则甲方应承担由此给乙方和/或任何第三方造成的直接和间接损失。</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16、甲方对其通过乙方交易系统从事的各项网上交易的结果承担全部责任，承诺偿付任何因其违约或不当行为而使乙方遭受的直接和间接损失。</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17、为保护甲方交易数据的安全，在进行网</w:t>
      </w:r>
      <w:r>
        <w:rPr>
          <w:rFonts w:hint="eastAsia" w:ascii="仿宋" w:hAnsi="仿宋" w:eastAsia="仿宋" w:cs="仿宋"/>
          <w:spacing w:val="11"/>
          <w:sz w:val="24"/>
          <w:szCs w:val="24"/>
          <w:highlight w:val="none"/>
          <w:lang w:val="en-US" w:eastAsia="zh-CN"/>
        </w:rPr>
        <w:t>上</w:t>
      </w:r>
      <w:r>
        <w:rPr>
          <w:rFonts w:hint="eastAsia" w:ascii="仿宋" w:hAnsi="仿宋" w:eastAsia="仿宋" w:cs="仿宋"/>
          <w:spacing w:val="11"/>
          <w:sz w:val="24"/>
          <w:szCs w:val="24"/>
          <w:highlight w:val="none"/>
        </w:rPr>
        <w:t>交易时，甲方应使用乙方</w:t>
      </w:r>
      <w:r>
        <w:rPr>
          <w:rFonts w:hint="eastAsia" w:ascii="仿宋" w:hAnsi="仿宋" w:eastAsia="仿宋" w:cs="仿宋"/>
          <w:spacing w:val="11"/>
          <w:sz w:val="24"/>
          <w:szCs w:val="24"/>
          <w:highlight w:val="none"/>
          <w:lang w:val="en-US"/>
        </w:rPr>
        <w:t>认可的</w:t>
      </w:r>
      <w:r>
        <w:rPr>
          <w:rFonts w:hint="eastAsia" w:ascii="仿宋" w:hAnsi="仿宋" w:eastAsia="仿宋" w:cs="仿宋"/>
          <w:spacing w:val="11"/>
          <w:sz w:val="24"/>
          <w:szCs w:val="24"/>
          <w:highlight w:val="none"/>
          <w:lang w:val="en-US" w:eastAsia="zh-CN"/>
        </w:rPr>
        <w:t>官方网站或软件进行交易</w:t>
      </w:r>
      <w:r>
        <w:rPr>
          <w:rFonts w:hint="eastAsia" w:ascii="仿宋" w:hAnsi="仿宋" w:eastAsia="仿宋" w:cs="仿宋"/>
          <w:spacing w:val="11"/>
          <w:sz w:val="24"/>
          <w:szCs w:val="24"/>
          <w:highlight w:val="none"/>
        </w:rPr>
        <w:t>。如果使用不符合要求的其他软件或</w:t>
      </w:r>
      <w:r>
        <w:rPr>
          <w:rFonts w:hint="eastAsia" w:ascii="仿宋" w:hAnsi="仿宋" w:eastAsia="仿宋" w:cs="仿宋"/>
          <w:spacing w:val="11"/>
          <w:sz w:val="24"/>
          <w:szCs w:val="24"/>
          <w:highlight w:val="none"/>
          <w:lang w:val="en-US" w:eastAsia="zh-CN"/>
        </w:rPr>
        <w:t>网站进入乙方交易服务系统</w:t>
      </w:r>
      <w:r>
        <w:rPr>
          <w:rFonts w:hint="eastAsia" w:ascii="仿宋" w:hAnsi="仿宋" w:eastAsia="仿宋" w:cs="仿宋"/>
          <w:spacing w:val="11"/>
          <w:sz w:val="24"/>
          <w:szCs w:val="24"/>
          <w:highlight w:val="none"/>
        </w:rPr>
        <w:t>，所引起的任何损失或造成的任何后果，均由甲方自行承担。</w:t>
      </w:r>
    </w:p>
    <w:p>
      <w:pPr>
        <w:spacing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18、甲方承诺乙方保留或所得到的电子交易数据为甲方交易行为唯一有效证据，并承认相关电子交易数据与书面签署的法律文件具有同等法律效力。</w:t>
      </w:r>
    </w:p>
    <w:p>
      <w:pPr>
        <w:spacing w:before="0" w:beforeLines="50" w:afterLines="50" w:line="360" w:lineRule="auto"/>
        <w:ind w:left="0"/>
        <w:outlineLvl w:val="9"/>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t>第四条</w:t>
      </w:r>
      <w:r>
        <w:rPr>
          <w:rFonts w:hint="eastAsia" w:ascii="仿宋" w:hAnsi="仿宋" w:eastAsia="仿宋" w:cs="仿宋"/>
          <w:b/>
          <w:bCs/>
          <w:spacing w:val="23"/>
          <w:sz w:val="24"/>
          <w:szCs w:val="24"/>
          <w:highlight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t>乙方承诺</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1、乙方严格遵守适用的法律法规及相关规定，并愿意受本协议所有条款的约束。</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2、乙方承诺将采取先进的网络产品和合理有效的技术措施，保护甲方资料和交易活动的安全。</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3、对甲方的交易行为，乙方可保留相关电子数据</w:t>
      </w:r>
      <w:r>
        <w:rPr>
          <w:rFonts w:hint="eastAsia" w:ascii="仿宋" w:hAnsi="仿宋" w:eastAsia="仿宋" w:cs="仿宋"/>
          <w:spacing w:val="11"/>
          <w:sz w:val="24"/>
          <w:szCs w:val="24"/>
          <w:highlight w:val="none"/>
          <w:lang w:eastAsia="zh-CN"/>
        </w:rPr>
        <w:t>、</w:t>
      </w:r>
      <w:r>
        <w:rPr>
          <w:rFonts w:hint="eastAsia" w:ascii="仿宋" w:hAnsi="仿宋" w:eastAsia="仿宋" w:cs="仿宋"/>
          <w:spacing w:val="11"/>
          <w:sz w:val="24"/>
          <w:szCs w:val="24"/>
          <w:highlight w:val="none"/>
          <w:lang w:val="en-US" w:eastAsia="zh-CN"/>
        </w:rPr>
        <w:t>甲方提供的业务资料及相关信息</w:t>
      </w:r>
      <w:r>
        <w:rPr>
          <w:rFonts w:hint="eastAsia" w:ascii="仿宋" w:hAnsi="仿宋" w:eastAsia="仿宋" w:cs="仿宋"/>
          <w:spacing w:val="11"/>
          <w:sz w:val="24"/>
          <w:szCs w:val="24"/>
          <w:highlight w:val="none"/>
        </w:rPr>
        <w:t>作为甲方交易行为的证明。乙方对甲方的相关信息和交易密码负有保密义务，未经甲方许可，乙方不得透露或非法使用甲方在乙方登记的任何资料。但乙方按照有关法律、法规和规章规定或有关司法机关、行政管理机关的要求提供甲方的有关资料和乙方用于本协议项下目的的除外。</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4、在甲方基金交易账户存续期间，乙方承诺为甲方持续提供信息服务：</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(1)乙方通过乙方</w:t>
      </w:r>
      <w:r>
        <w:rPr>
          <w:rFonts w:hint="eastAsia" w:ascii="仿宋" w:hAnsi="仿宋" w:eastAsia="仿宋" w:cs="仿宋"/>
          <w:spacing w:val="11"/>
          <w:sz w:val="24"/>
          <w:szCs w:val="24"/>
          <w:highlight w:val="none"/>
          <w:lang w:val="en-US" w:eastAsia="zh-CN"/>
        </w:rPr>
        <w:t>交易服务</w:t>
      </w:r>
      <w:r>
        <w:rPr>
          <w:rFonts w:hint="eastAsia" w:ascii="仿宋" w:hAnsi="仿宋" w:eastAsia="仿宋" w:cs="仿宋"/>
          <w:spacing w:val="11"/>
          <w:sz w:val="24"/>
          <w:szCs w:val="24"/>
          <w:highlight w:val="none"/>
        </w:rPr>
        <w:t>系统为甲方提供查询服务</w:t>
      </w:r>
      <w:r>
        <w:rPr>
          <w:rFonts w:hint="eastAsia" w:ascii="仿宋" w:hAnsi="仿宋" w:eastAsia="仿宋" w:cs="仿宋"/>
          <w:spacing w:val="11"/>
          <w:sz w:val="24"/>
          <w:szCs w:val="24"/>
          <w:highlight w:val="none"/>
          <w:lang w:eastAsia="zh-CN"/>
        </w:rPr>
        <w:t>，</w:t>
      </w:r>
      <w:r>
        <w:rPr>
          <w:rFonts w:hint="eastAsia" w:ascii="仿宋" w:hAnsi="仿宋" w:eastAsia="仿宋" w:cs="仿宋"/>
          <w:spacing w:val="11"/>
          <w:sz w:val="24"/>
          <w:szCs w:val="24"/>
          <w:highlight w:val="none"/>
          <w:lang w:val="en-US" w:eastAsia="zh-CN"/>
        </w:rPr>
        <w:t>包括但不限于</w:t>
      </w:r>
      <w:r>
        <w:rPr>
          <w:rFonts w:hint="eastAsia" w:ascii="仿宋" w:hAnsi="仿宋" w:eastAsia="仿宋" w:cs="仿宋"/>
          <w:spacing w:val="11"/>
          <w:sz w:val="24"/>
          <w:szCs w:val="24"/>
          <w:highlight w:val="none"/>
        </w:rPr>
        <w:t>认购、申购、赎回的基金名称以及基金份额的确认日期、确认份额和金额等信息；</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(2)乙方通过官方</w:t>
      </w:r>
      <w:r>
        <w:rPr>
          <w:rFonts w:hint="eastAsia" w:ascii="仿宋" w:hAnsi="仿宋" w:eastAsia="仿宋" w:cs="仿宋"/>
          <w:spacing w:val="11"/>
          <w:sz w:val="24"/>
          <w:szCs w:val="24"/>
          <w:highlight w:val="none"/>
          <w:lang w:val="en-US" w:eastAsia="zh-CN"/>
        </w:rPr>
        <w:t>网站及软件</w:t>
      </w:r>
      <w:r>
        <w:rPr>
          <w:rFonts w:hint="eastAsia" w:ascii="仿宋" w:hAnsi="仿宋" w:eastAsia="仿宋" w:cs="仿宋"/>
          <w:spacing w:val="11"/>
          <w:sz w:val="24"/>
          <w:szCs w:val="24"/>
          <w:highlight w:val="none"/>
        </w:rPr>
        <w:t>为甲方提供基金的基本信息，如基金净值、基金经理、持仓档案等信息，甲方可自行查询基金的相关信息；</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(3)乙方至少每年度通过</w:t>
      </w:r>
      <w:r>
        <w:rPr>
          <w:rFonts w:hint="eastAsia" w:ascii="仿宋" w:hAnsi="仿宋" w:eastAsia="仿宋" w:cs="仿宋"/>
          <w:spacing w:val="11"/>
          <w:sz w:val="24"/>
          <w:szCs w:val="24"/>
          <w:highlight w:val="none"/>
          <w:lang w:val="en-US" w:eastAsia="zh-CN"/>
        </w:rPr>
        <w:t>软件</w:t>
      </w:r>
      <w:r>
        <w:rPr>
          <w:rFonts w:hint="eastAsia" w:ascii="仿宋" w:hAnsi="仿宋" w:eastAsia="仿宋" w:cs="仿宋"/>
          <w:spacing w:val="11"/>
          <w:sz w:val="24"/>
          <w:szCs w:val="24"/>
          <w:highlight w:val="none"/>
        </w:rPr>
        <w:t>、官网推送、短信、电话等方式(</w:t>
      </w:r>
      <w:r>
        <w:rPr>
          <w:rFonts w:hint="eastAsia" w:ascii="仿宋" w:hAnsi="仿宋" w:eastAsia="仿宋" w:cs="仿宋"/>
          <w:spacing w:val="11"/>
          <w:sz w:val="24"/>
          <w:szCs w:val="24"/>
          <w:highlight w:val="none"/>
          <w:lang w:val="en-US" w:eastAsia="zh-CN"/>
        </w:rPr>
        <w:t>至少</w:t>
      </w:r>
      <w:r>
        <w:rPr>
          <w:rFonts w:hint="eastAsia" w:ascii="仿宋" w:hAnsi="仿宋" w:eastAsia="仿宋" w:cs="仿宋"/>
          <w:spacing w:val="11"/>
          <w:sz w:val="24"/>
          <w:szCs w:val="24"/>
          <w:highlight w:val="none"/>
        </w:rPr>
        <w:t>其中一种)向甲方提供其所持基金保有信息情况，包括基金名称、基金代码、持有份额等；</w:t>
      </w:r>
    </w:p>
    <w:p>
      <w:pPr>
        <w:spacing w:before="0" w:line="360" w:lineRule="auto"/>
        <w:ind w:left="0" w:right="0" w:firstLine="524" w:firstLineChars="200"/>
        <w:rPr>
          <w:rFonts w:hint="eastAsia" w:ascii="仿宋" w:hAnsi="仿宋" w:eastAsia="仿宋" w:cs="仿宋"/>
          <w:spacing w:val="11"/>
          <w:sz w:val="24"/>
          <w:szCs w:val="24"/>
          <w:highlight w:val="yellow"/>
        </w:rPr>
      </w:pPr>
      <w:r>
        <w:rPr>
          <w:rFonts w:hint="eastAsia" w:ascii="仿宋" w:hAnsi="仿宋" w:eastAsia="仿宋" w:cs="仿宋"/>
          <w:spacing w:val="11"/>
          <w:sz w:val="24"/>
          <w:szCs w:val="24"/>
          <w:highlight w:val="none"/>
        </w:rPr>
        <w:t>(4)乙方通过官方网站向甲方及时提供对其投资决策有重大影响的信息；</w:t>
      </w:r>
    </w:p>
    <w:p>
      <w:pPr>
        <w:spacing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(5)中国证监会规定的其他要求。</w:t>
      </w:r>
    </w:p>
    <w:p>
      <w:pPr>
        <w:spacing w:before="0" w:beforeLines="50" w:afterLines="50" w:line="360" w:lineRule="auto"/>
        <w:ind w:left="0"/>
        <w:outlineLvl w:val="9"/>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t>第五条</w:t>
      </w:r>
      <w:r>
        <w:rPr>
          <w:rFonts w:hint="eastAsia" w:ascii="仿宋" w:hAnsi="仿宋" w:eastAsia="仿宋" w:cs="仿宋"/>
          <w:b/>
          <w:bCs/>
          <w:spacing w:val="23"/>
          <w:sz w:val="24"/>
          <w:szCs w:val="24"/>
          <w:highlight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t>协议变更及终止</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1、本协议履行过程中，如果相关法律、法规、规章、政策及基金合同、基金招募说明书、业务规则发生变化，</w:t>
      </w:r>
      <w:r>
        <w:rPr>
          <w:rFonts w:hint="eastAsia" w:ascii="仿宋" w:hAnsi="仿宋" w:eastAsia="仿宋" w:cs="仿宋"/>
          <w:spacing w:val="11"/>
          <w:sz w:val="24"/>
          <w:szCs w:val="24"/>
          <w:highlight w:val="none"/>
          <w:lang w:val="en-US" w:eastAsia="zh-CN"/>
        </w:rPr>
        <w:t>本协议之不适应的内容和条款自行失效，并按照变更后的相关法律文件的规定执行。</w:t>
      </w:r>
    </w:p>
    <w:p>
      <w:pPr>
        <w:spacing w:before="0" w:line="360" w:lineRule="auto"/>
        <w:ind w:left="0" w:right="0" w:firstLine="526" w:firstLineChars="200"/>
        <w:rPr>
          <w:rFonts w:hint="eastAsia" w:ascii="仿宋" w:hAnsi="仿宋" w:eastAsia="仿宋" w:cs="仿宋"/>
          <w:b/>
          <w:bCs/>
          <w:spacing w:val="11"/>
          <w:sz w:val="24"/>
          <w:szCs w:val="24"/>
          <w:highlight w:val="none"/>
        </w:rPr>
      </w:pPr>
      <w:r>
        <w:rPr>
          <w:rFonts w:hint="eastAsia" w:ascii="仿宋" w:hAnsi="仿宋" w:eastAsia="仿宋" w:cs="仿宋"/>
          <w:b/>
          <w:bCs/>
          <w:spacing w:val="11"/>
          <w:sz w:val="24"/>
          <w:szCs w:val="24"/>
          <w:highlight w:val="none"/>
        </w:rPr>
        <w:t>2、除上一条款所述情况外，在不损害甲方利益的前提下，乙方保留修改或增补本协议内容的权利</w:t>
      </w:r>
      <w:r>
        <w:rPr>
          <w:rFonts w:hint="eastAsia" w:ascii="仿宋" w:hAnsi="仿宋" w:eastAsia="仿宋" w:cs="仿宋"/>
          <w:b/>
          <w:bCs/>
          <w:spacing w:val="11"/>
          <w:sz w:val="24"/>
          <w:szCs w:val="24"/>
          <w:highlight w:val="none"/>
          <w:lang w:eastAsia="zh-CN"/>
        </w:rPr>
        <w:t>；</w:t>
      </w:r>
      <w:r>
        <w:rPr>
          <w:rFonts w:hint="eastAsia" w:ascii="仿宋" w:hAnsi="仿宋" w:eastAsia="仿宋" w:cs="仿宋"/>
          <w:b/>
          <w:bCs/>
          <w:spacing w:val="11"/>
          <w:sz w:val="24"/>
          <w:szCs w:val="24"/>
          <w:highlight w:val="none"/>
        </w:rPr>
        <w:t>如需变更或者补充本协议，修改后的文本将以在乙方公司</w:t>
      </w:r>
      <w:r>
        <w:rPr>
          <w:rFonts w:hint="eastAsia" w:ascii="仿宋" w:hAnsi="仿宋" w:eastAsia="仿宋" w:cs="仿宋"/>
          <w:b/>
          <w:bCs/>
          <w:spacing w:val="11"/>
          <w:sz w:val="24"/>
          <w:szCs w:val="24"/>
          <w:highlight w:val="none"/>
          <w:lang w:val="en-US" w:eastAsia="zh-CN"/>
        </w:rPr>
        <w:t>官方</w:t>
      </w:r>
      <w:r>
        <w:rPr>
          <w:rFonts w:hint="eastAsia" w:ascii="仿宋" w:hAnsi="仿宋" w:eastAsia="仿宋" w:cs="仿宋"/>
          <w:b/>
          <w:bCs/>
          <w:spacing w:val="11"/>
          <w:sz w:val="24"/>
          <w:szCs w:val="24"/>
          <w:highlight w:val="none"/>
        </w:rPr>
        <w:t>网站</w:t>
      </w:r>
      <w:r>
        <w:rPr>
          <w:rFonts w:hint="eastAsia" w:ascii="仿宋" w:hAnsi="仿宋" w:eastAsia="仿宋" w:cs="仿宋"/>
          <w:b/>
          <w:bCs/>
          <w:spacing w:val="11"/>
          <w:sz w:val="24"/>
          <w:szCs w:val="24"/>
          <w:highlight w:val="none"/>
          <w:lang w:val="en-US" w:eastAsia="zh-CN"/>
        </w:rPr>
        <w:t>发布公告或其他乙方认为可行的方式向甲方发出通知，甲乙双方无需对修改后的文本进行重新签署</w:t>
      </w:r>
      <w:r>
        <w:rPr>
          <w:rFonts w:hint="eastAsia" w:ascii="仿宋" w:hAnsi="仿宋" w:eastAsia="仿宋" w:cs="仿宋"/>
          <w:b/>
          <w:bCs/>
          <w:spacing w:val="11"/>
          <w:sz w:val="24"/>
          <w:szCs w:val="24"/>
          <w:highlight w:val="none"/>
        </w:rPr>
        <w:t>。</w:t>
      </w:r>
    </w:p>
    <w:p>
      <w:pPr>
        <w:spacing w:before="0" w:line="360" w:lineRule="auto"/>
        <w:ind w:left="0" w:right="0" w:firstLine="526" w:firstLineChars="200"/>
        <w:rPr>
          <w:rFonts w:hint="eastAsia" w:ascii="仿宋" w:hAnsi="仿宋" w:eastAsia="仿宋" w:cs="仿宋"/>
          <w:b/>
          <w:bCs/>
          <w:spacing w:val="11"/>
          <w:sz w:val="24"/>
          <w:szCs w:val="24"/>
          <w:highlight w:val="none"/>
        </w:rPr>
      </w:pPr>
      <w:r>
        <w:rPr>
          <w:rFonts w:hint="eastAsia" w:ascii="仿宋" w:hAnsi="仿宋" w:eastAsia="仿宋" w:cs="仿宋"/>
          <w:b/>
          <w:bCs/>
          <w:spacing w:val="11"/>
          <w:sz w:val="24"/>
          <w:szCs w:val="24"/>
          <w:highlight w:val="none"/>
        </w:rPr>
        <w:t>3、甲方继续使用乙方后续服务，或在修改文本公布之日起三十日内</w:t>
      </w:r>
      <w:r>
        <w:rPr>
          <w:rFonts w:hint="eastAsia" w:ascii="仿宋" w:hAnsi="仿宋" w:eastAsia="仿宋" w:cs="仿宋"/>
          <w:b/>
          <w:bCs/>
          <w:spacing w:val="11"/>
          <w:sz w:val="24"/>
          <w:szCs w:val="24"/>
          <w:highlight w:val="none"/>
          <w:lang w:eastAsia="zh-CN"/>
        </w:rPr>
        <w:t>，</w:t>
      </w:r>
      <w:r>
        <w:rPr>
          <w:rFonts w:hint="eastAsia" w:ascii="仿宋" w:hAnsi="仿宋" w:eastAsia="仿宋" w:cs="仿宋"/>
          <w:b/>
          <w:bCs/>
          <w:spacing w:val="11"/>
          <w:sz w:val="24"/>
          <w:szCs w:val="24"/>
          <w:highlight w:val="none"/>
          <w:lang w:val="en-US" w:eastAsia="zh-CN"/>
        </w:rPr>
        <w:t>甲方</w:t>
      </w:r>
      <w:r>
        <w:rPr>
          <w:rFonts w:hint="eastAsia" w:ascii="仿宋" w:hAnsi="仿宋" w:eastAsia="仿宋" w:cs="仿宋"/>
          <w:b/>
          <w:bCs/>
          <w:spacing w:val="11"/>
          <w:sz w:val="24"/>
          <w:szCs w:val="24"/>
          <w:highlight w:val="none"/>
        </w:rPr>
        <w:t>未向乙方提出书面异议</w:t>
      </w:r>
      <w:r>
        <w:rPr>
          <w:rFonts w:hint="eastAsia" w:ascii="仿宋" w:hAnsi="仿宋" w:eastAsia="仿宋" w:cs="仿宋"/>
          <w:b/>
          <w:bCs/>
          <w:spacing w:val="11"/>
          <w:sz w:val="24"/>
          <w:szCs w:val="24"/>
          <w:highlight w:val="none"/>
          <w:lang w:val="en-US" w:eastAsia="zh-CN"/>
        </w:rPr>
        <w:t>的</w:t>
      </w:r>
      <w:r>
        <w:rPr>
          <w:rFonts w:hint="eastAsia" w:ascii="仿宋" w:hAnsi="仿宋" w:eastAsia="仿宋" w:cs="仿宋"/>
          <w:b/>
          <w:bCs/>
          <w:spacing w:val="11"/>
          <w:sz w:val="24"/>
          <w:szCs w:val="24"/>
          <w:highlight w:val="none"/>
          <w:lang w:eastAsia="zh-CN"/>
        </w:rPr>
        <w:t>，</w:t>
      </w:r>
      <w:r>
        <w:rPr>
          <w:rFonts w:hint="eastAsia" w:ascii="仿宋" w:hAnsi="仿宋" w:eastAsia="仿宋" w:cs="仿宋"/>
          <w:b/>
          <w:bCs/>
          <w:spacing w:val="11"/>
          <w:sz w:val="24"/>
          <w:szCs w:val="24"/>
          <w:highlight w:val="none"/>
        </w:rPr>
        <w:t>则视同甲方已经对本协议的修改文本表示认可。</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position w:val="0"/>
          <w:sz w:val="24"/>
          <w:szCs w:val="24"/>
          <w:highlight w:val="none"/>
          <w:lang w:val="en-US" w:eastAsia="zh-CN"/>
        </w:rPr>
        <w:t>4、</w:t>
      </w:r>
      <w:r>
        <w:rPr>
          <w:rFonts w:hint="eastAsia" w:ascii="仿宋" w:hAnsi="仿宋" w:eastAsia="仿宋" w:cs="仿宋"/>
          <w:spacing w:val="11"/>
          <w:sz w:val="24"/>
          <w:szCs w:val="24"/>
          <w:highlight w:val="none"/>
        </w:rPr>
        <w:t>本协议在发生下述情况之一时终止</w:t>
      </w:r>
      <w:r>
        <w:rPr>
          <w:rFonts w:hint="eastAsia" w:ascii="仿宋" w:hAnsi="仿宋" w:eastAsia="仿宋" w:cs="仿宋"/>
          <w:spacing w:val="11"/>
          <w:sz w:val="24"/>
          <w:szCs w:val="24"/>
          <w:highlight w:val="none"/>
          <w:lang w:eastAsia="zh-CN"/>
        </w:rPr>
        <w:t>：</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w:t>
      </w:r>
      <w:r>
        <w:rPr>
          <w:rFonts w:hint="eastAsia" w:ascii="仿宋" w:hAnsi="仿宋" w:eastAsia="仿宋" w:cs="仿宋"/>
          <w:spacing w:val="11"/>
          <w:sz w:val="24"/>
          <w:szCs w:val="24"/>
          <w:highlight w:val="none"/>
          <w:lang w:val="en-US" w:eastAsia="zh-CN"/>
        </w:rPr>
        <w:t>1</w:t>
      </w:r>
      <w:r>
        <w:rPr>
          <w:rFonts w:hint="eastAsia" w:ascii="仿宋" w:hAnsi="仿宋" w:eastAsia="仿宋" w:cs="仿宋"/>
          <w:spacing w:val="11"/>
          <w:sz w:val="24"/>
          <w:szCs w:val="24"/>
          <w:highlight w:val="none"/>
        </w:rPr>
        <w:t>)</w:t>
      </w:r>
      <w:r>
        <w:rPr>
          <w:rFonts w:hint="eastAsia" w:ascii="仿宋" w:hAnsi="仿宋" w:eastAsia="仿宋" w:cs="仿宋"/>
          <w:spacing w:val="11"/>
          <w:position w:val="0"/>
          <w:sz w:val="24"/>
          <w:szCs w:val="24"/>
          <w:highlight w:val="none"/>
        </w:rPr>
        <w:t>双方签订书面协议同意终止；</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(2)甲方死亡或不再具备相应的民事行为能力；</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w:t>
      </w:r>
      <w:r>
        <w:rPr>
          <w:rFonts w:hint="eastAsia" w:ascii="仿宋" w:hAnsi="仿宋" w:eastAsia="仿宋" w:cs="仿宋"/>
          <w:spacing w:val="11"/>
          <w:sz w:val="24"/>
          <w:szCs w:val="24"/>
          <w:highlight w:val="none"/>
          <w:lang w:val="en-US" w:eastAsia="zh-CN"/>
        </w:rPr>
        <w:t>3</w:t>
      </w:r>
      <w:r>
        <w:rPr>
          <w:rFonts w:hint="eastAsia" w:ascii="仿宋" w:hAnsi="仿宋" w:eastAsia="仿宋" w:cs="仿宋"/>
          <w:spacing w:val="11"/>
          <w:sz w:val="24"/>
          <w:szCs w:val="24"/>
          <w:highlight w:val="none"/>
        </w:rPr>
        <w:t>)甲方因解散、被宣告破产等原因完成清算、注销从而终止的；</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w:t>
      </w:r>
      <w:r>
        <w:rPr>
          <w:rFonts w:hint="eastAsia" w:ascii="仿宋" w:hAnsi="仿宋" w:eastAsia="仿宋" w:cs="仿宋"/>
          <w:spacing w:val="11"/>
          <w:sz w:val="24"/>
          <w:szCs w:val="24"/>
          <w:highlight w:val="none"/>
          <w:lang w:val="en-US" w:eastAsia="zh-CN"/>
        </w:rPr>
        <w:t>4</w:t>
      </w:r>
      <w:r>
        <w:rPr>
          <w:rFonts w:hint="eastAsia" w:ascii="仿宋" w:hAnsi="仿宋" w:eastAsia="仿宋" w:cs="仿宋"/>
          <w:spacing w:val="11"/>
          <w:sz w:val="24"/>
          <w:szCs w:val="24"/>
          <w:highlight w:val="none"/>
        </w:rPr>
        <w:t>)甲方注销</w:t>
      </w:r>
      <w:r>
        <w:rPr>
          <w:rFonts w:hint="eastAsia" w:ascii="仿宋" w:hAnsi="仿宋" w:eastAsia="仿宋" w:cs="仿宋"/>
          <w:spacing w:val="11"/>
          <w:sz w:val="24"/>
          <w:szCs w:val="24"/>
          <w:highlight w:val="none"/>
          <w:lang w:val="en-US" w:eastAsia="zh-CN"/>
        </w:rPr>
        <w:t>在</w:t>
      </w:r>
      <w:r>
        <w:rPr>
          <w:rFonts w:hint="eastAsia" w:ascii="仿宋" w:hAnsi="仿宋" w:eastAsia="仿宋" w:cs="仿宋"/>
          <w:spacing w:val="11"/>
          <w:sz w:val="24"/>
          <w:szCs w:val="24"/>
          <w:highlight w:val="none"/>
        </w:rPr>
        <w:t>乙方</w:t>
      </w:r>
      <w:r>
        <w:rPr>
          <w:rFonts w:hint="eastAsia" w:ascii="仿宋" w:hAnsi="仿宋" w:eastAsia="仿宋" w:cs="仿宋"/>
          <w:spacing w:val="11"/>
          <w:sz w:val="24"/>
          <w:szCs w:val="24"/>
          <w:highlight w:val="none"/>
          <w:lang w:val="en-US" w:eastAsia="zh-CN"/>
        </w:rPr>
        <w:t>开立的</w:t>
      </w:r>
      <w:r>
        <w:rPr>
          <w:rFonts w:hint="eastAsia" w:ascii="仿宋" w:hAnsi="仿宋" w:eastAsia="仿宋" w:cs="仿宋"/>
          <w:spacing w:val="11"/>
          <w:sz w:val="24"/>
          <w:szCs w:val="24"/>
          <w:highlight w:val="none"/>
        </w:rPr>
        <w:t>基金交易账户；</w:t>
      </w:r>
    </w:p>
    <w:p>
      <w:pPr>
        <w:spacing w:before="0" w:line="360" w:lineRule="auto"/>
        <w:ind w:left="0" w:firstLine="524" w:firstLineChars="200"/>
        <w:rPr>
          <w:rFonts w:hint="eastAsia" w:ascii="仿宋" w:hAnsi="仿宋" w:eastAsia="仿宋" w:cs="仿宋"/>
          <w:spacing w:val="11"/>
          <w:position w:val="0"/>
          <w:sz w:val="24"/>
          <w:szCs w:val="24"/>
          <w:highlight w:val="none"/>
        </w:rPr>
      </w:pPr>
      <w:r>
        <w:rPr>
          <w:rFonts w:hint="eastAsia" w:ascii="仿宋" w:hAnsi="仿宋" w:eastAsia="仿宋" w:cs="仿宋"/>
          <w:spacing w:val="11"/>
          <w:sz w:val="24"/>
          <w:szCs w:val="24"/>
          <w:highlight w:val="none"/>
        </w:rPr>
        <w:t>(</w:t>
      </w:r>
      <w:r>
        <w:rPr>
          <w:rFonts w:hint="eastAsia" w:ascii="仿宋" w:hAnsi="仿宋" w:eastAsia="仿宋" w:cs="仿宋"/>
          <w:spacing w:val="11"/>
          <w:sz w:val="24"/>
          <w:szCs w:val="24"/>
          <w:highlight w:val="none"/>
          <w:lang w:val="en-US" w:eastAsia="zh-CN"/>
        </w:rPr>
        <w:t>5</w:t>
      </w:r>
      <w:r>
        <w:rPr>
          <w:rFonts w:hint="eastAsia" w:ascii="仿宋" w:hAnsi="仿宋" w:eastAsia="仿宋" w:cs="仿宋"/>
          <w:spacing w:val="11"/>
          <w:sz w:val="24"/>
          <w:szCs w:val="24"/>
          <w:highlight w:val="none"/>
        </w:rPr>
        <w:t>)</w:t>
      </w:r>
      <w:r>
        <w:rPr>
          <w:rFonts w:hint="eastAsia" w:ascii="仿宋" w:hAnsi="仿宋" w:eastAsia="仿宋" w:cs="仿宋"/>
          <w:spacing w:val="11"/>
          <w:position w:val="0"/>
          <w:sz w:val="24"/>
          <w:szCs w:val="24"/>
          <w:highlight w:val="none"/>
        </w:rPr>
        <w:t>因不可抗力致使本协议根本目的不能实现；</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w:t>
      </w:r>
      <w:r>
        <w:rPr>
          <w:rFonts w:hint="eastAsia" w:ascii="仿宋" w:hAnsi="仿宋" w:eastAsia="仿宋" w:cs="仿宋"/>
          <w:spacing w:val="11"/>
          <w:sz w:val="24"/>
          <w:szCs w:val="24"/>
          <w:highlight w:val="none"/>
          <w:lang w:val="en-US" w:eastAsia="zh-CN"/>
        </w:rPr>
        <w:t>6</w:t>
      </w:r>
      <w:r>
        <w:rPr>
          <w:rFonts w:hint="eastAsia" w:ascii="仿宋" w:hAnsi="仿宋" w:eastAsia="仿宋" w:cs="仿宋"/>
          <w:spacing w:val="11"/>
          <w:sz w:val="24"/>
          <w:szCs w:val="24"/>
          <w:highlight w:val="none"/>
        </w:rPr>
        <w:t>)</w:t>
      </w:r>
      <w:r>
        <w:rPr>
          <w:rFonts w:hint="eastAsia" w:ascii="仿宋" w:hAnsi="仿宋" w:eastAsia="仿宋" w:cs="仿宋"/>
          <w:spacing w:val="11"/>
          <w:position w:val="0"/>
          <w:sz w:val="24"/>
          <w:szCs w:val="24"/>
          <w:highlight w:val="none"/>
        </w:rPr>
        <w:t>一方违约，另一方书面通知对方提出终止本协议；</w:t>
      </w:r>
    </w:p>
    <w:p>
      <w:pPr>
        <w:spacing w:before="0"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w:t>
      </w:r>
      <w:r>
        <w:rPr>
          <w:rFonts w:hint="eastAsia" w:ascii="仿宋" w:hAnsi="仿宋" w:eastAsia="仿宋" w:cs="仿宋"/>
          <w:spacing w:val="11"/>
          <w:sz w:val="24"/>
          <w:szCs w:val="24"/>
          <w:highlight w:val="none"/>
          <w:lang w:val="en-US" w:eastAsia="zh-CN"/>
        </w:rPr>
        <w:t>7</w:t>
      </w:r>
      <w:r>
        <w:rPr>
          <w:rFonts w:hint="eastAsia" w:ascii="仿宋" w:hAnsi="仿宋" w:eastAsia="仿宋" w:cs="仿宋"/>
          <w:spacing w:val="11"/>
          <w:sz w:val="24"/>
          <w:szCs w:val="24"/>
          <w:highlight w:val="none"/>
        </w:rPr>
        <w:t>)</w:t>
      </w:r>
      <w:r>
        <w:rPr>
          <w:rFonts w:hint="eastAsia" w:ascii="仿宋" w:hAnsi="仿宋" w:eastAsia="仿宋" w:cs="仿宋"/>
          <w:spacing w:val="11"/>
          <w:position w:val="0"/>
          <w:sz w:val="24"/>
          <w:szCs w:val="24"/>
          <w:highlight w:val="none"/>
        </w:rPr>
        <w:t>法律法规规定的其它情形。</w:t>
      </w:r>
    </w:p>
    <w:p>
      <w:pPr>
        <w:spacing w:before="0" w:beforeLines="50" w:afterLines="50" w:line="360" w:lineRule="auto"/>
        <w:ind w:left="0"/>
        <w:outlineLvl w:val="9"/>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t>第六条</w:t>
      </w:r>
      <w:r>
        <w:rPr>
          <w:rFonts w:hint="eastAsia" w:ascii="仿宋" w:hAnsi="仿宋" w:eastAsia="仿宋" w:cs="仿宋"/>
          <w:b/>
          <w:bCs/>
          <w:spacing w:val="23"/>
          <w:sz w:val="24"/>
          <w:szCs w:val="24"/>
          <w:highlight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t>特别提示</w:t>
      </w:r>
    </w:p>
    <w:p>
      <w:pPr>
        <w:spacing w:before="0" w:line="360" w:lineRule="auto"/>
        <w:ind w:left="0" w:right="0" w:firstLine="524" w:firstLineChars="200"/>
        <w:rPr>
          <w:rFonts w:hint="eastAsia" w:ascii="仿宋" w:hAnsi="仿宋" w:eastAsia="仿宋" w:cs="仿宋"/>
          <w:b/>
          <w:bCs/>
          <w:spacing w:val="11"/>
          <w:sz w:val="24"/>
          <w:szCs w:val="24"/>
          <w:highlight w:val="none"/>
        </w:rPr>
      </w:pPr>
      <w:r>
        <w:rPr>
          <w:rFonts w:hint="eastAsia" w:ascii="仿宋" w:hAnsi="仿宋" w:eastAsia="仿宋" w:cs="仿宋"/>
          <w:spacing w:val="11"/>
          <w:sz w:val="24"/>
          <w:szCs w:val="24"/>
          <w:highlight w:val="none"/>
        </w:rPr>
        <w:t>1、甲方通过乙方进行基金交易业务前必须与乙方签署本协议，本协议自</w:t>
      </w:r>
      <w:r>
        <w:rPr>
          <w:rFonts w:hint="eastAsia" w:ascii="仿宋" w:hAnsi="仿宋" w:eastAsia="仿宋" w:cs="仿宋"/>
          <w:spacing w:val="11"/>
          <w:sz w:val="24"/>
          <w:szCs w:val="24"/>
          <w:highlight w:val="none"/>
          <w:lang w:val="en-US" w:eastAsia="zh-CN"/>
        </w:rPr>
        <w:t>甲乙双方</w:t>
      </w:r>
      <w:r>
        <w:rPr>
          <w:rFonts w:hint="eastAsia" w:ascii="仿宋" w:hAnsi="仿宋" w:eastAsia="仿宋" w:cs="仿宋"/>
          <w:spacing w:val="11"/>
          <w:sz w:val="24"/>
          <w:szCs w:val="24"/>
          <w:highlight w:val="none"/>
        </w:rPr>
        <w:t>签署之</w:t>
      </w:r>
      <w:r>
        <w:rPr>
          <w:rFonts w:hint="eastAsia" w:ascii="仿宋" w:hAnsi="仿宋" w:eastAsia="仿宋" w:cs="仿宋"/>
          <w:spacing w:val="11"/>
          <w:sz w:val="24"/>
          <w:szCs w:val="24"/>
          <w:highlight w:val="none"/>
          <w:lang w:val="en-US" w:eastAsia="zh-CN"/>
        </w:rPr>
        <w:t>日</w:t>
      </w:r>
      <w:r>
        <w:rPr>
          <w:rFonts w:hint="eastAsia" w:ascii="仿宋" w:hAnsi="仿宋" w:eastAsia="仿宋" w:cs="仿宋"/>
          <w:spacing w:val="11"/>
          <w:sz w:val="24"/>
          <w:szCs w:val="24"/>
          <w:highlight w:val="none"/>
        </w:rPr>
        <w:t>起生效。</w:t>
      </w:r>
      <w:r>
        <w:rPr>
          <w:rFonts w:hint="eastAsia" w:ascii="仿宋" w:hAnsi="仿宋" w:eastAsia="仿宋" w:cs="仿宋"/>
          <w:b/>
          <w:bCs/>
          <w:spacing w:val="11"/>
          <w:sz w:val="24"/>
          <w:szCs w:val="24"/>
          <w:highlight w:val="none"/>
        </w:rPr>
        <w:t>甲方</w:t>
      </w:r>
      <w:r>
        <w:rPr>
          <w:rFonts w:hint="eastAsia" w:ascii="仿宋" w:hAnsi="仿宋" w:eastAsia="仿宋" w:cs="仿宋"/>
          <w:b/>
          <w:bCs/>
          <w:spacing w:val="11"/>
          <w:sz w:val="24"/>
          <w:szCs w:val="24"/>
          <w:highlight w:val="none"/>
          <w:lang w:val="en-US" w:eastAsia="zh-CN"/>
        </w:rPr>
        <w:t>可</w:t>
      </w:r>
      <w:r>
        <w:rPr>
          <w:rFonts w:hint="eastAsia" w:ascii="仿宋" w:hAnsi="仿宋" w:eastAsia="仿宋" w:cs="仿宋"/>
          <w:b/>
          <w:bCs/>
          <w:spacing w:val="11"/>
          <w:sz w:val="24"/>
          <w:szCs w:val="24"/>
          <w:highlight w:val="none"/>
        </w:rPr>
        <w:t>通过</w:t>
      </w:r>
      <w:r>
        <w:rPr>
          <w:rFonts w:hint="eastAsia" w:ascii="仿宋" w:hAnsi="仿宋" w:eastAsia="仿宋" w:cs="仿宋"/>
          <w:b/>
          <w:bCs/>
          <w:spacing w:val="11"/>
          <w:sz w:val="24"/>
          <w:szCs w:val="24"/>
          <w:highlight w:val="none"/>
          <w:lang w:val="en-US" w:eastAsia="zh-CN"/>
        </w:rPr>
        <w:t>线下签署纸质协议或</w:t>
      </w:r>
      <w:r>
        <w:rPr>
          <w:rFonts w:hint="eastAsia" w:ascii="仿宋" w:hAnsi="仿宋" w:eastAsia="仿宋" w:cs="仿宋"/>
          <w:b/>
          <w:bCs/>
          <w:spacing w:val="11"/>
          <w:sz w:val="24"/>
          <w:szCs w:val="24"/>
          <w:highlight w:val="none"/>
        </w:rPr>
        <w:t>互联网勾选</w:t>
      </w:r>
      <w:r>
        <w:rPr>
          <w:rFonts w:hint="eastAsia" w:ascii="仿宋" w:hAnsi="仿宋" w:eastAsia="仿宋" w:cs="仿宋"/>
          <w:b/>
          <w:bCs/>
          <w:spacing w:val="11"/>
          <w:sz w:val="24"/>
          <w:szCs w:val="24"/>
          <w:highlight w:val="none"/>
          <w:lang w:val="en-US" w:eastAsia="zh-CN"/>
        </w:rPr>
        <w:t>/</w:t>
      </w:r>
      <w:r>
        <w:rPr>
          <w:rFonts w:hint="eastAsia" w:ascii="仿宋" w:hAnsi="仿宋" w:eastAsia="仿宋" w:cs="仿宋"/>
          <w:b/>
          <w:bCs/>
          <w:spacing w:val="11"/>
          <w:sz w:val="24"/>
          <w:szCs w:val="24"/>
          <w:highlight w:val="none"/>
        </w:rPr>
        <w:t>点击确认接受本协议，视为完成本协议签署并接受乙方交易服务，即表示甲方已知悉、理解并同意接受本协议的全部约定内容以及与本协议有关的已经发布或将来可能发布的各项规则、页面展示、操作流程、公告或通知。</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lang w:val="en-US" w:eastAsia="zh-CN"/>
        </w:rPr>
        <w:t>2、乙方接受甲方采用传真方式提交认购、申购、赎回、账户信息变更、销户等业务申请。</w:t>
      </w:r>
      <w:r>
        <w:rPr>
          <w:rFonts w:hint="eastAsia" w:ascii="仿宋" w:hAnsi="仿宋" w:eastAsia="仿宋" w:cs="仿宋"/>
          <w:spacing w:val="11"/>
          <w:sz w:val="24"/>
          <w:szCs w:val="24"/>
          <w:highlight w:val="none"/>
        </w:rPr>
        <w:t>甲方提供的传真交易单据具有与原件同等效力。</w:t>
      </w:r>
    </w:p>
    <w:p>
      <w:pPr>
        <w:spacing w:line="360" w:lineRule="auto"/>
        <w:ind w:left="0" w:firstLine="524" w:firstLineChars="200"/>
        <w:rPr>
          <w:rFonts w:hint="eastAsia" w:ascii="仿宋" w:hAnsi="仿宋" w:eastAsia="仿宋" w:cs="仿宋"/>
          <w:spacing w:val="11"/>
          <w:position w:val="0"/>
          <w:sz w:val="24"/>
          <w:szCs w:val="24"/>
          <w:highlight w:val="none"/>
        </w:rPr>
      </w:pPr>
      <w:r>
        <w:rPr>
          <w:rFonts w:hint="eastAsia" w:ascii="仿宋" w:hAnsi="仿宋" w:eastAsia="仿宋" w:cs="仿宋"/>
          <w:spacing w:val="11"/>
          <w:position w:val="0"/>
          <w:sz w:val="24"/>
          <w:szCs w:val="24"/>
          <w:highlight w:val="none"/>
          <w:lang w:val="en-US" w:eastAsia="zh-CN"/>
        </w:rPr>
        <w:t>3</w:t>
      </w:r>
      <w:r>
        <w:rPr>
          <w:rFonts w:hint="eastAsia" w:ascii="仿宋" w:hAnsi="仿宋" w:eastAsia="仿宋" w:cs="仿宋"/>
          <w:spacing w:val="11"/>
          <w:position w:val="0"/>
          <w:sz w:val="24"/>
          <w:szCs w:val="24"/>
          <w:highlight w:val="none"/>
        </w:rPr>
        <w:t>、交易提示：</w:t>
      </w:r>
    </w:p>
    <w:p>
      <w:pPr>
        <w:numPr>
          <w:ilvl w:val="-1"/>
          <w:numId w:val="0"/>
        </w:numPr>
        <w:spacing w:line="360" w:lineRule="auto"/>
        <w:ind w:firstLine="524" w:firstLineChars="200"/>
        <w:rPr>
          <w:rFonts w:hint="eastAsia" w:ascii="仿宋" w:hAnsi="仿宋" w:eastAsia="仿宋" w:cs="仿宋"/>
          <w:spacing w:val="11"/>
          <w:kern w:val="2"/>
          <w:sz w:val="24"/>
          <w:szCs w:val="24"/>
          <w:highlight w:val="none"/>
        </w:rPr>
      </w:pPr>
      <w:r>
        <w:rPr>
          <w:rFonts w:hint="eastAsia" w:ascii="仿宋" w:hAnsi="仿宋" w:eastAsia="仿宋" w:cs="仿宋"/>
          <w:spacing w:val="11"/>
          <w:sz w:val="24"/>
          <w:szCs w:val="24"/>
          <w:highlight w:val="none"/>
        </w:rPr>
        <w:t>(1)甲方</w:t>
      </w:r>
      <w:r>
        <w:rPr>
          <w:rFonts w:hint="eastAsia" w:ascii="仿宋" w:hAnsi="仿宋" w:eastAsia="仿宋" w:cs="仿宋"/>
          <w:spacing w:val="11"/>
          <w:sz w:val="24"/>
          <w:szCs w:val="24"/>
          <w:highlight w:val="none"/>
          <w:lang w:val="en-US" w:eastAsia="zh-CN"/>
        </w:rPr>
        <w:t>采用传真方式提交认购、申购、赎回、基金转换、撤销交易申请的，</w:t>
      </w:r>
      <w:r>
        <w:rPr>
          <w:rFonts w:hint="eastAsia" w:ascii="仿宋" w:hAnsi="仿宋" w:eastAsia="仿宋" w:cs="仿宋"/>
          <w:spacing w:val="11"/>
          <w:sz w:val="24"/>
          <w:szCs w:val="24"/>
          <w:highlight w:val="none"/>
        </w:rPr>
        <w:t>应在指定的交易时间内传真至乙方，甲方交易的时间以乙方传真系统记录的收到传真时间为准，</w:t>
      </w:r>
      <w:r>
        <w:rPr>
          <w:rFonts w:hint="eastAsia" w:ascii="仿宋" w:hAnsi="仿宋" w:eastAsia="仿宋" w:cs="仿宋"/>
          <w:spacing w:val="11"/>
          <w:kern w:val="2"/>
          <w:sz w:val="24"/>
          <w:szCs w:val="24"/>
          <w:highlight w:val="none"/>
        </w:rPr>
        <w:t>申请单须于申请之日起的3个工作日内寄至乙方。</w:t>
      </w:r>
    </w:p>
    <w:p>
      <w:pPr>
        <w:numPr>
          <w:ilvl w:val="-1"/>
          <w:numId w:val="0"/>
        </w:numPr>
        <w:spacing w:line="360" w:lineRule="auto"/>
        <w:ind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乙方根据甲方传真载明的印鉴和授权经办人签字作为判断传真交易对方的依据。凡传真载明印鉴与甲方留存印鉴和授权经办人签字表面相符的进行的一切交易，均视为甲方亲自办理，因此而产生的一切后果均由甲方承担。</w:t>
      </w:r>
    </w:p>
    <w:p>
      <w:pPr>
        <w:numPr>
          <w:ilvl w:val="-1"/>
          <w:numId w:val="0"/>
        </w:numPr>
        <w:spacing w:line="360" w:lineRule="auto"/>
        <w:ind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甲方发出传真后，应主动向乙方进行电话确认传真申请内容事宜。乙方人员也可与甲方的授权经办人通过其预留电话号码电话确认交易内容，但该确认电话并不构成乙方的义务。如出现传真印鉴及/或授权经办人签字存在瑕疵或其他导致乙方对传真件的真实性存在疑虑的情况，且甲方未主动向乙方进行电话确认的，乙方有权不受理该笔传真交易。</w:t>
      </w:r>
    </w:p>
    <w:p>
      <w:pPr>
        <w:numPr>
          <w:ilvl w:val="-1"/>
          <w:numId w:val="0"/>
        </w:numPr>
        <w:spacing w:line="360" w:lineRule="auto"/>
        <w:ind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如乙方未收到、未全部、未及时收到、或接收到的甲方传真信息不准确、不完整、无法识别或甲方违反法律法规、基金合同或乙方业务规则等使乙方无法执行的，乙方可不执行并对此不承担法律责任。</w:t>
      </w:r>
    </w:p>
    <w:p>
      <w:pPr>
        <w:numPr>
          <w:ilvl w:val="-1"/>
          <w:numId w:val="0"/>
        </w:numPr>
        <w:spacing w:line="360" w:lineRule="auto"/>
        <w:ind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乙方因不可预期的设备故障、占线、线路拥塞、传输不良、通讯中断、断电、计算机或传真系统故障、自然灾害、其他不可抗力等因素导致无法接收、无法处理、延迟接收或迟延处理甲方的申请，乙方不承担任何经济和法律责任。</w:t>
      </w:r>
    </w:p>
    <w:p>
      <w:pPr>
        <w:numPr>
          <w:ilvl w:val="-1"/>
          <w:numId w:val="0"/>
        </w:numPr>
        <w:spacing w:line="360" w:lineRule="auto"/>
        <w:ind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lang w:eastAsia="zh-CN"/>
        </w:rPr>
        <w:t>（</w:t>
      </w:r>
      <w:r>
        <w:rPr>
          <w:rFonts w:hint="eastAsia" w:ascii="仿宋" w:hAnsi="仿宋" w:eastAsia="仿宋" w:cs="仿宋"/>
          <w:spacing w:val="11"/>
          <w:sz w:val="24"/>
          <w:szCs w:val="24"/>
          <w:highlight w:val="none"/>
          <w:lang w:val="en-US" w:eastAsia="zh-CN"/>
        </w:rPr>
        <w:t>2</w:t>
      </w:r>
      <w:r>
        <w:rPr>
          <w:rFonts w:hint="eastAsia" w:ascii="仿宋" w:hAnsi="仿宋" w:eastAsia="仿宋" w:cs="仿宋"/>
          <w:spacing w:val="11"/>
          <w:sz w:val="24"/>
          <w:szCs w:val="24"/>
          <w:highlight w:val="none"/>
          <w:lang w:eastAsia="zh-CN"/>
        </w:rPr>
        <w:t>）</w:t>
      </w:r>
      <w:r>
        <w:rPr>
          <w:rFonts w:hint="eastAsia" w:ascii="仿宋" w:hAnsi="仿宋" w:eastAsia="仿宋" w:cs="仿宋"/>
          <w:spacing w:val="11"/>
          <w:sz w:val="24"/>
          <w:szCs w:val="24"/>
          <w:highlight w:val="none"/>
        </w:rPr>
        <w:t>乙方可能为确认基金交易申请的真实性与甲方电话联系。甲方应预留真实有效的电话号码，如无法通过电话确认交易申请的真实性，乙方有权不受理该笔交易。乙方可能对双方电话通话内容进行录音，录音内容作为日后核查的依据，并且甲方特此同意乙方对电话语音的录制，认可该电话记录是双方交易真实有效的证据，在任何司法程序中不对该电话记录提出任何形式的质疑。</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w:t>
      </w:r>
      <w:r>
        <w:rPr>
          <w:rFonts w:hint="eastAsia" w:ascii="仿宋" w:hAnsi="仿宋" w:eastAsia="仿宋" w:cs="仿宋"/>
          <w:spacing w:val="11"/>
          <w:sz w:val="24"/>
          <w:szCs w:val="24"/>
          <w:highlight w:val="none"/>
          <w:lang w:val="en-US" w:eastAsia="zh-CN"/>
        </w:rPr>
        <w:t>3</w:t>
      </w:r>
      <w:r>
        <w:rPr>
          <w:rFonts w:hint="eastAsia" w:ascii="仿宋" w:hAnsi="仿宋" w:eastAsia="仿宋" w:cs="仿宋"/>
          <w:spacing w:val="11"/>
          <w:sz w:val="24"/>
          <w:szCs w:val="24"/>
          <w:highlight w:val="none"/>
        </w:rPr>
        <w:t>)各类基金业务申请的最终确认方为基金管理人注册登记中心或基金管理人委托的注册登记机构。甲方的委托内容以基金管理人注册登记中心或基金管理人委托的注册登记机构的系统记录资料为准，成交与否以交易确认单为准。</w:t>
      </w:r>
    </w:p>
    <w:p>
      <w:p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w:t>
      </w:r>
      <w:r>
        <w:rPr>
          <w:rFonts w:hint="eastAsia" w:ascii="仿宋" w:hAnsi="仿宋" w:eastAsia="仿宋" w:cs="仿宋"/>
          <w:spacing w:val="11"/>
          <w:sz w:val="24"/>
          <w:szCs w:val="24"/>
          <w:highlight w:val="none"/>
          <w:lang w:val="en-US" w:eastAsia="zh-CN"/>
        </w:rPr>
        <w:t>4</w:t>
      </w:r>
      <w:r>
        <w:rPr>
          <w:rFonts w:hint="eastAsia" w:ascii="仿宋" w:hAnsi="仿宋" w:eastAsia="仿宋" w:cs="仿宋"/>
          <w:spacing w:val="11"/>
          <w:sz w:val="24"/>
          <w:szCs w:val="24"/>
          <w:highlight w:val="none"/>
        </w:rPr>
        <w:t>)甲方通过网上交易的数额限制以乙方及基金管理人等相关机构的业务规则规定为准。</w:t>
      </w:r>
    </w:p>
    <w:p>
      <w:pPr>
        <w:spacing w:line="360" w:lineRule="auto"/>
        <w:ind w:lef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w:t>
      </w:r>
      <w:r>
        <w:rPr>
          <w:rFonts w:hint="eastAsia" w:ascii="仿宋" w:hAnsi="仿宋" w:eastAsia="仿宋" w:cs="仿宋"/>
          <w:spacing w:val="11"/>
          <w:sz w:val="24"/>
          <w:szCs w:val="24"/>
          <w:highlight w:val="none"/>
          <w:lang w:val="en-US" w:eastAsia="zh-CN"/>
        </w:rPr>
        <w:t>5</w:t>
      </w:r>
      <w:r>
        <w:rPr>
          <w:rFonts w:hint="eastAsia" w:ascii="仿宋" w:hAnsi="仿宋" w:eastAsia="仿宋" w:cs="仿宋"/>
          <w:spacing w:val="11"/>
          <w:sz w:val="24"/>
          <w:szCs w:val="24"/>
          <w:highlight w:val="none"/>
        </w:rPr>
        <w:t>)委托受理时间提示：</w:t>
      </w:r>
    </w:p>
    <w:p>
      <w:pPr>
        <w:numPr>
          <w:ilvl w:val="-1"/>
          <w:numId w:val="0"/>
        </w:numPr>
        <w:spacing w:before="0" w:line="360" w:lineRule="auto"/>
        <w:ind w:left="0" w:right="0" w:firstLine="524" w:firstLineChars="200"/>
        <w:rPr>
          <w:rFonts w:hint="eastAsia" w:ascii="仿宋" w:hAnsi="仿宋" w:eastAsia="仿宋" w:cs="仿宋"/>
          <w:spacing w:val="11"/>
          <w:sz w:val="24"/>
          <w:szCs w:val="24"/>
          <w:highlight w:val="none"/>
        </w:rPr>
      </w:pPr>
      <w:r>
        <w:rPr>
          <w:rFonts w:hint="eastAsia" w:ascii="仿宋" w:hAnsi="仿宋" w:eastAsia="仿宋" w:cs="仿宋"/>
          <w:spacing w:val="11"/>
          <w:sz w:val="24"/>
          <w:szCs w:val="24"/>
          <w:highlight w:val="none"/>
        </w:rPr>
        <w:t>交易日委托申请的受理截止时间为15</w:t>
      </w:r>
      <w:r>
        <w:rPr>
          <w:rFonts w:hint="eastAsia" w:ascii="仿宋" w:hAnsi="仿宋" w:eastAsia="仿宋" w:cs="仿宋"/>
          <w:spacing w:val="11"/>
          <w:sz w:val="24"/>
          <w:szCs w:val="24"/>
          <w:highlight w:val="none"/>
          <w:lang w:val="en-US" w:eastAsia="zh-CN"/>
        </w:rPr>
        <w:t>:</w:t>
      </w:r>
      <w:r>
        <w:rPr>
          <w:rFonts w:hint="eastAsia" w:ascii="仿宋" w:hAnsi="仿宋" w:eastAsia="仿宋" w:cs="仿宋"/>
          <w:spacing w:val="11"/>
          <w:sz w:val="24"/>
          <w:szCs w:val="24"/>
          <w:highlight w:val="none"/>
        </w:rPr>
        <w:t>00</w:t>
      </w:r>
      <w:r>
        <w:rPr>
          <w:rFonts w:hint="eastAsia" w:ascii="仿宋" w:hAnsi="仿宋" w:eastAsia="仿宋" w:cs="仿宋"/>
          <w:spacing w:val="11"/>
          <w:sz w:val="24"/>
          <w:szCs w:val="24"/>
          <w:highlight w:val="none"/>
          <w:lang w:eastAsia="zh-CN"/>
        </w:rPr>
        <w:t>；</w:t>
      </w:r>
      <w:r>
        <w:rPr>
          <w:rFonts w:hint="eastAsia" w:ascii="仿宋" w:hAnsi="仿宋" w:eastAsia="仿宋" w:cs="仿宋"/>
          <w:spacing w:val="11"/>
          <w:sz w:val="24"/>
          <w:szCs w:val="24"/>
          <w:highlight w:val="none"/>
        </w:rPr>
        <w:t>采用传真方式提交交易申请的，</w:t>
      </w:r>
      <w:r>
        <w:rPr>
          <w:rFonts w:hint="eastAsia" w:ascii="仿宋" w:hAnsi="仿宋" w:eastAsia="仿宋" w:cs="仿宋"/>
          <w:spacing w:val="11"/>
          <w:kern w:val="2"/>
          <w:sz w:val="24"/>
          <w:szCs w:val="24"/>
          <w:highlight w:val="none"/>
        </w:rPr>
        <w:t>每个交易日传真最晚送达时间为中午12:00</w:t>
      </w:r>
      <w:r>
        <w:rPr>
          <w:rFonts w:hint="eastAsia" w:ascii="仿宋" w:hAnsi="仿宋" w:eastAsia="仿宋" w:cs="仿宋"/>
          <w:spacing w:val="11"/>
          <w:kern w:val="2"/>
          <w:sz w:val="24"/>
          <w:szCs w:val="24"/>
          <w:highlight w:val="none"/>
          <w:lang w:val="en-US" w:eastAsia="zh-CN"/>
        </w:rPr>
        <w:t>且</w:t>
      </w:r>
      <w:r>
        <w:rPr>
          <w:rFonts w:hint="eastAsia" w:ascii="仿宋" w:hAnsi="仿宋" w:eastAsia="仿宋" w:cs="仿宋"/>
          <w:spacing w:val="11"/>
          <w:kern w:val="2"/>
          <w:sz w:val="24"/>
          <w:szCs w:val="24"/>
          <w:highlight w:val="none"/>
        </w:rPr>
        <w:t>需于交易时间内将认购/申购金额划付至乙方指定账户</w:t>
      </w:r>
      <w:r>
        <w:rPr>
          <w:rFonts w:hint="eastAsia" w:ascii="仿宋" w:hAnsi="仿宋" w:eastAsia="仿宋" w:cs="仿宋"/>
          <w:spacing w:val="11"/>
          <w:sz w:val="24"/>
          <w:szCs w:val="24"/>
          <w:highlight w:val="none"/>
        </w:rPr>
        <w:t>。如果甲方委托申请</w:t>
      </w:r>
      <w:r>
        <w:rPr>
          <w:rFonts w:hint="eastAsia" w:ascii="仿宋" w:hAnsi="仿宋" w:eastAsia="仿宋" w:cs="仿宋"/>
          <w:spacing w:val="11"/>
          <w:sz w:val="24"/>
          <w:szCs w:val="24"/>
          <w:highlight w:val="none"/>
          <w:lang w:val="en-US" w:eastAsia="zh-CN"/>
        </w:rPr>
        <w:t>或传真送达</w:t>
      </w:r>
      <w:r>
        <w:rPr>
          <w:rFonts w:hint="eastAsia" w:ascii="仿宋" w:hAnsi="仿宋" w:eastAsia="仿宋" w:cs="仿宋"/>
          <w:spacing w:val="11"/>
          <w:sz w:val="24"/>
          <w:szCs w:val="24"/>
          <w:highlight w:val="none"/>
        </w:rPr>
        <w:t>的时间超出上述截止时间，则乙方视甲方的委托申请为下一个交易日的申请。申请时间以乙方系统自动记载时间为准。</w:t>
      </w:r>
    </w:p>
    <w:p>
      <w:pPr>
        <w:spacing w:line="360" w:lineRule="auto"/>
        <w:ind w:firstLine="524" w:firstLineChars="200"/>
        <w:outlineLvl w:val="9"/>
        <w:rPr>
          <w:rFonts w:hint="eastAsia" w:ascii="仿宋" w:hAnsi="仿宋" w:eastAsia="仿宋" w:cs="仿宋"/>
          <w:b w:val="0"/>
          <w:bCs w:val="0"/>
          <w:spacing w:val="11"/>
          <w:sz w:val="24"/>
          <w:szCs w:val="24"/>
          <w:highlight w:val="none"/>
          <w:lang w:val="en-US" w:eastAsia="zh-CN" w:bidi="ar"/>
        </w:rPr>
      </w:pPr>
      <w:r>
        <w:rPr>
          <w:rFonts w:hint="eastAsia" w:ascii="仿宋" w:hAnsi="仿宋" w:eastAsia="仿宋" w:cs="仿宋"/>
          <w:b w:val="0"/>
          <w:bCs w:val="0"/>
          <w:spacing w:val="11"/>
          <w:sz w:val="24"/>
          <w:szCs w:val="24"/>
          <w:highlight w:val="none"/>
          <w:lang w:val="en-US" w:eastAsia="zh-CN" w:bidi="ar"/>
        </w:rPr>
        <w:t>甲方T日提交的有效交易申请，乙方将不晚于T+2日反馈受理结果。</w:t>
      </w:r>
    </w:p>
    <w:p>
      <w:pPr>
        <w:spacing w:beforeAutospacing="0" w:afterAutospacing="0" w:line="360" w:lineRule="auto"/>
        <w:ind w:firstLine="524" w:firstLineChars="200"/>
        <w:rPr>
          <w:rFonts w:hint="eastAsia" w:ascii="仿宋" w:hAnsi="仿宋" w:eastAsia="仿宋" w:cs="仿宋"/>
          <w:spacing w:val="11"/>
          <w:sz w:val="24"/>
          <w:szCs w:val="24"/>
          <w:highlight w:val="none"/>
          <w:lang w:val="en-US" w:eastAsia="zh-CN" w:bidi="ar"/>
        </w:rPr>
      </w:pPr>
      <w:r>
        <w:rPr>
          <w:rFonts w:hint="eastAsia" w:ascii="仿宋" w:hAnsi="仿宋" w:eastAsia="仿宋" w:cs="仿宋"/>
          <w:b w:val="0"/>
          <w:bCs w:val="0"/>
          <w:spacing w:val="11"/>
          <w:sz w:val="24"/>
          <w:szCs w:val="24"/>
          <w:highlight w:val="none"/>
          <w:lang w:val="en-US" w:eastAsia="zh-CN" w:bidi="ar"/>
        </w:rPr>
        <w:t>甲方T日提交的有效交易申请，且将资金转至乙方募集账户后，因自身原因，造成交易确认失败，包括但不限于：资料有误、交易反</w:t>
      </w:r>
      <w:bookmarkStart w:id="0" w:name="_GoBack"/>
      <w:bookmarkEnd w:id="0"/>
      <w:r>
        <w:rPr>
          <w:rFonts w:hint="eastAsia" w:ascii="仿宋" w:hAnsi="仿宋" w:eastAsia="仿宋" w:cs="仿宋"/>
          <w:b w:val="0"/>
          <w:bCs w:val="0"/>
          <w:spacing w:val="11"/>
          <w:sz w:val="24"/>
          <w:szCs w:val="24"/>
          <w:highlight w:val="none"/>
          <w:lang w:val="en-US" w:eastAsia="zh-CN" w:bidi="ar"/>
        </w:rPr>
        <w:t>悔、回访未通过、认购金额与打款金额不符、超出乙方规定的交易时间等情形，乙方将不晚于T+2日进行退款处理，并向银行发送清算指令，具体到账时间以银行处理时间为准。因上述原因产生损失的，乙方不承担任何责任。</w:t>
      </w:r>
    </w:p>
    <w:p>
      <w:pPr>
        <w:keepNext w:val="0"/>
        <w:keepLines w:val="0"/>
        <w:widowControl/>
        <w:suppressLineNumbers w:val="0"/>
        <w:spacing w:line="360" w:lineRule="auto"/>
        <w:ind w:firstLine="524" w:firstLineChars="200"/>
        <w:jc w:val="left"/>
        <w:rPr>
          <w:rFonts w:hint="eastAsia" w:ascii="仿宋" w:hAnsi="仿宋" w:eastAsia="仿宋" w:cs="仿宋"/>
          <w:spacing w:val="11"/>
          <w:sz w:val="24"/>
          <w:szCs w:val="24"/>
          <w:highlight w:val="none"/>
          <w:lang w:val="en-US" w:eastAsia="zh-CN" w:bidi="ar"/>
        </w:rPr>
      </w:pPr>
      <w:r>
        <w:rPr>
          <w:rFonts w:hint="eastAsia" w:ascii="仿宋" w:hAnsi="仿宋" w:eastAsia="仿宋" w:cs="仿宋"/>
          <w:b w:val="0"/>
          <w:bCs w:val="0"/>
          <w:spacing w:val="11"/>
          <w:sz w:val="24"/>
          <w:szCs w:val="24"/>
          <w:highlight w:val="none"/>
          <w:lang w:val="en-US" w:eastAsia="zh-CN" w:bidi="ar"/>
        </w:rPr>
        <w:t>（6）</w:t>
      </w:r>
      <w:r>
        <w:rPr>
          <w:rFonts w:hint="eastAsia" w:ascii="仿宋" w:hAnsi="仿宋" w:eastAsia="仿宋" w:cs="仿宋"/>
          <w:snapToGrid/>
          <w:spacing w:val="11"/>
          <w:kern w:val="2"/>
          <w:sz w:val="24"/>
          <w:szCs w:val="24"/>
          <w:highlight w:val="none"/>
          <w:lang w:val="en-US" w:eastAsia="zh-CN" w:bidi="ar"/>
        </w:rPr>
        <w:t>注册登记机构的基金赎回、分红、退款交易等资金由乙方募集账户监督银行原路划拨至甲方的资金结算账户。</w:t>
      </w:r>
    </w:p>
    <w:p>
      <w:pPr>
        <w:spacing w:beforeAutospacing="0" w:afterAutospacing="0" w:line="360" w:lineRule="auto"/>
        <w:ind w:firstLine="524" w:firstLineChars="200"/>
        <w:rPr>
          <w:rFonts w:hint="eastAsia" w:ascii="仿宋" w:hAnsi="仿宋" w:eastAsia="仿宋" w:cs="仿宋"/>
          <w:b w:val="0"/>
          <w:bCs w:val="0"/>
          <w:spacing w:val="11"/>
          <w:sz w:val="24"/>
          <w:szCs w:val="24"/>
          <w:highlight w:val="none"/>
          <w:lang w:eastAsia="zh-CN" w:bidi="ar"/>
        </w:rPr>
      </w:pPr>
      <w:r>
        <w:rPr>
          <w:rFonts w:hint="eastAsia" w:ascii="仿宋" w:hAnsi="仿宋" w:eastAsia="仿宋" w:cs="仿宋"/>
          <w:snapToGrid/>
          <w:spacing w:val="11"/>
          <w:kern w:val="2"/>
          <w:sz w:val="24"/>
          <w:szCs w:val="24"/>
          <w:highlight w:val="none"/>
          <w:lang w:val="en-US" w:eastAsia="zh-CN" w:bidi="ar"/>
        </w:rPr>
        <w:t>如甲方变更资金结算账户信息，需根据乙方要求提供相关变更材料，乙方以变更后的资金结算账户信息为准。因甲方变更资金结算账户信息所导致的法律后果和损失，及对第三方的责任，均由甲方自行承担，与乙方无关。</w:t>
      </w:r>
    </w:p>
    <w:p>
      <w:pPr>
        <w:numPr>
          <w:ilvl w:val="-1"/>
          <w:numId w:val="0"/>
        </w:numPr>
        <w:spacing w:line="360" w:lineRule="auto"/>
        <w:ind w:firstLine="524" w:firstLineChars="200"/>
        <w:rPr>
          <w:rFonts w:hint="eastAsia" w:ascii="仿宋" w:hAnsi="仿宋" w:eastAsia="仿宋" w:cs="仿宋"/>
          <w:spacing w:val="11"/>
          <w:sz w:val="24"/>
          <w:szCs w:val="24"/>
          <w:highlight w:val="none"/>
        </w:rPr>
      </w:pPr>
      <w:r>
        <w:rPr>
          <w:rFonts w:hint="eastAsia" w:ascii="仿宋" w:hAnsi="仿宋" w:eastAsia="仿宋" w:cs="仿宋"/>
          <w:b w:val="0"/>
          <w:bCs w:val="0"/>
          <w:spacing w:val="11"/>
          <w:sz w:val="24"/>
          <w:szCs w:val="24"/>
          <w:highlight w:val="none"/>
          <w:lang w:val="en-US" w:eastAsia="zh-CN" w:bidi="ar"/>
        </w:rPr>
        <w:t>（7）</w:t>
      </w:r>
      <w:r>
        <w:rPr>
          <w:rFonts w:hint="eastAsia" w:ascii="仿宋" w:hAnsi="仿宋" w:eastAsia="仿宋" w:cs="仿宋"/>
          <w:spacing w:val="11"/>
          <w:sz w:val="24"/>
          <w:szCs w:val="24"/>
          <w:highlight w:val="none"/>
          <w:lang w:bidi="ar"/>
        </w:rPr>
        <w:t>本协议任意一方(含其员工、关联方、代理人等，以下统称“本协议任意一方”)不得为获得不正当利益或商业机会进行商业贿赂，不得对本协议其他方及其员工和员工的家庭成员行贿或输送不当利益(包括但不限于提供现金、有价证券、支付凭证、物品及就业机会等)，不得给予本协议其他方及其员工和员工家庭成员不合适的商业礼仪或馈赠(包括但不限于提供贵重物品、高价值文化礼品、旅游、考察、高规格接待等)，不得从事、授权或允许从事任何可能造成其自身及其关联方违反任何反商业贿赂法律法规的行为。如果本协议任意一方违反前述的反商业贿赂的廉洁承诺条款，本协议其他方(即守约方)将有权立即单方终止本协议及各方合作关系，并有权要求违约方承担因此而给守约方造成的直接损失。</w:t>
      </w:r>
    </w:p>
    <w:p>
      <w:pPr>
        <w:spacing w:before="0" w:beforeLines="50" w:afterLines="50" w:line="360" w:lineRule="auto"/>
        <w:ind w:left="0"/>
        <w:outlineLvl w:val="9"/>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pPr>
      <w:r>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t>第七条</w:t>
      </w:r>
      <w:r>
        <w:rPr>
          <w:rFonts w:hint="eastAsia" w:ascii="仿宋" w:hAnsi="仿宋" w:eastAsia="仿宋" w:cs="仿宋"/>
          <w:b/>
          <w:bCs/>
          <w:spacing w:val="23"/>
          <w:sz w:val="24"/>
          <w:szCs w:val="24"/>
          <w:highlight w:val="none"/>
          <w:lang w:val="en-US" w:eastAsia="zh-CN"/>
          <w14:textOutline w14:w="4358" w14:cap="sq" w14:cmpd="sng">
            <w14:solidFill>
              <w14:srgbClr w14:val="000000"/>
            </w14:solidFill>
            <w14:prstDash w14:val="solid"/>
            <w14:bevel/>
          </w14:textOutline>
        </w:rPr>
        <w:t xml:space="preserve"> </w:t>
      </w:r>
      <w:r>
        <w:rPr>
          <w:rFonts w:hint="eastAsia" w:ascii="仿宋" w:hAnsi="仿宋" w:eastAsia="仿宋" w:cs="仿宋"/>
          <w:b/>
          <w:bCs/>
          <w:spacing w:val="23"/>
          <w:sz w:val="24"/>
          <w:szCs w:val="24"/>
          <w:highlight w:val="none"/>
          <w14:textOutline w14:w="4358" w14:cap="sq" w14:cmpd="sng">
            <w14:solidFill>
              <w14:srgbClr w14:val="000000"/>
            </w14:solidFill>
            <w14:prstDash w14:val="solid"/>
            <w14:bevel/>
          </w14:textOutline>
        </w:rPr>
        <w:t>争议解决</w:t>
      </w:r>
    </w:p>
    <w:p>
      <w:pPr>
        <w:numPr>
          <w:ilvl w:val="0"/>
          <w:numId w:val="0"/>
        </w:numPr>
        <w:spacing w:before="0" w:line="360" w:lineRule="auto"/>
        <w:ind w:firstLine="524" w:firstLineChars="200"/>
        <w:rPr>
          <w:rFonts w:hint="eastAsia" w:ascii="仿宋" w:hAnsi="仿宋" w:eastAsia="仿宋" w:cs="仿宋"/>
          <w:spacing w:val="11"/>
          <w:sz w:val="24"/>
          <w:szCs w:val="24"/>
          <w:highlight w:val="none"/>
          <w:lang w:bidi="ar"/>
        </w:rPr>
      </w:pPr>
      <w:r>
        <w:rPr>
          <w:rFonts w:hint="eastAsia" w:ascii="仿宋" w:hAnsi="仿宋" w:eastAsia="仿宋" w:cs="仿宋"/>
          <w:spacing w:val="11"/>
          <w:sz w:val="24"/>
          <w:szCs w:val="24"/>
          <w:highlight w:val="none"/>
          <w:lang w:bidi="ar"/>
        </w:rPr>
        <w:t>甲、乙双方如有争议，应尽可能通过协商、调解解决，协商或调解不成的，可以提请仲裁，甲乙双方不愿通过协商或调解解决的，也可以直接提请仲裁。甲乙双方协商选择在中国境内提请中国国际经济贸易仲裁委员会依照该会届时有效的仲裁规则进行仲裁，仲裁地点为北京。仲裁裁决是终局的，对双方均有法律约束力。</w:t>
      </w:r>
    </w:p>
    <w:p>
      <w:pPr>
        <w:widowControl/>
        <w:numPr>
          <w:ilvl w:val="0"/>
          <w:numId w:val="0"/>
        </w:numPr>
        <w:kinsoku/>
        <w:adjustRightInd/>
        <w:snapToGrid/>
        <w:spacing w:before="157" w:beforeLines="50" w:after="157" w:afterLines="50" w:line="360" w:lineRule="auto"/>
        <w:ind w:firstLine="524" w:firstLineChars="200"/>
        <w:textAlignment w:val="auto"/>
        <w:rPr>
          <w:rFonts w:hint="eastAsia" w:ascii="仿宋" w:hAnsi="仿宋" w:eastAsia="仿宋" w:cs="仿宋"/>
          <w:spacing w:val="11"/>
          <w:sz w:val="24"/>
          <w:szCs w:val="24"/>
          <w:highlight w:val="none"/>
          <w:lang w:bidi="ar"/>
        </w:rPr>
      </w:pPr>
      <w:r>
        <w:rPr>
          <w:rFonts w:hint="eastAsia" w:ascii="仿宋" w:hAnsi="仿宋" w:eastAsia="仿宋" w:cs="仿宋"/>
          <w:spacing w:val="11"/>
          <w:sz w:val="24"/>
          <w:szCs w:val="24"/>
          <w:highlight w:val="none"/>
          <w:lang w:eastAsia="zh-CN" w:bidi="ar"/>
        </w:rPr>
        <w:t>（</w:t>
      </w:r>
      <w:r>
        <w:rPr>
          <w:rFonts w:hint="eastAsia" w:ascii="仿宋" w:hAnsi="仿宋" w:eastAsia="仿宋" w:cs="仿宋"/>
          <w:spacing w:val="11"/>
          <w:sz w:val="24"/>
          <w:szCs w:val="24"/>
          <w:highlight w:val="none"/>
          <w:lang w:val="en-US" w:eastAsia="zh-CN" w:bidi="ar"/>
        </w:rPr>
        <w:t>以下无正文</w:t>
      </w:r>
      <w:r>
        <w:rPr>
          <w:rFonts w:hint="eastAsia" w:ascii="仿宋" w:hAnsi="仿宋" w:eastAsia="仿宋" w:cs="仿宋"/>
          <w:spacing w:val="11"/>
          <w:sz w:val="24"/>
          <w:szCs w:val="24"/>
          <w:highlight w:val="none"/>
          <w:lang w:eastAsia="zh-CN" w:bidi="ar"/>
        </w:rPr>
        <w:t>）</w:t>
      </w:r>
    </w:p>
    <w:p>
      <w:pPr>
        <w:numPr>
          <w:ilvl w:val="0"/>
          <w:numId w:val="0"/>
        </w:numPr>
        <w:spacing w:before="0" w:line="360" w:lineRule="auto"/>
        <w:ind w:left="0" w:right="0" w:firstLine="526" w:firstLineChars="200"/>
        <w:rPr>
          <w:rFonts w:hint="eastAsia" w:ascii="仿宋" w:hAnsi="仿宋" w:eastAsia="仿宋" w:cs="仿宋"/>
          <w:b/>
          <w:bCs/>
          <w:spacing w:val="11"/>
          <w:sz w:val="24"/>
          <w:szCs w:val="24"/>
          <w:highlight w:val="none"/>
          <w:lang w:bidi="ar"/>
        </w:rPr>
      </w:pPr>
      <w:r>
        <w:rPr>
          <w:rFonts w:hint="eastAsia" w:ascii="仿宋" w:hAnsi="仿宋" w:eastAsia="仿宋" w:cs="仿宋"/>
          <w:b/>
          <w:bCs/>
          <w:spacing w:val="11"/>
          <w:sz w:val="24"/>
          <w:szCs w:val="24"/>
          <w:highlight w:val="none"/>
          <w:lang w:bidi="ar"/>
        </w:rPr>
        <w:t>甲方确认已详细阅读本协议的所有条款，乙方已提</w:t>
      </w:r>
      <w:r>
        <w:rPr>
          <w:rFonts w:hint="eastAsia" w:ascii="仿宋" w:hAnsi="仿宋" w:eastAsia="仿宋" w:cs="仿宋"/>
          <w:b/>
          <w:bCs/>
          <w:spacing w:val="11"/>
          <w:sz w:val="24"/>
          <w:szCs w:val="24"/>
          <w:highlight w:val="none"/>
          <w:lang w:val="en-US" w:eastAsia="zh-CN" w:bidi="ar"/>
        </w:rPr>
        <w:t>醒</w:t>
      </w:r>
      <w:r>
        <w:rPr>
          <w:rFonts w:hint="eastAsia" w:ascii="仿宋" w:hAnsi="仿宋" w:eastAsia="仿宋" w:cs="仿宋"/>
          <w:b/>
          <w:bCs/>
          <w:spacing w:val="11"/>
          <w:sz w:val="24"/>
          <w:szCs w:val="24"/>
          <w:highlight w:val="none"/>
          <w:lang w:bidi="ar"/>
        </w:rPr>
        <w:t>甲方特别注意有关免除或限制乙方责任、乙方单方面拥有某些权利、增加甲方责任或限制甲方权利、争议解决、风险提示等条款(特别是粗体标注内容)，并已应甲方的要求对上述条款作出相应的说明。签约双方对本协议条款的理解完全一致，同意接受上述所有内容。</w:t>
      </w:r>
    </w:p>
    <w:p>
      <w:pPr>
        <w:numPr>
          <w:ilvl w:val="0"/>
          <w:numId w:val="0"/>
        </w:numPr>
        <w:spacing w:before="0" w:line="360" w:lineRule="auto"/>
        <w:ind w:left="0" w:right="0" w:firstLine="526" w:firstLineChars="200"/>
        <w:rPr>
          <w:rFonts w:hint="eastAsia" w:ascii="仿宋" w:hAnsi="仿宋" w:eastAsia="仿宋" w:cs="仿宋"/>
          <w:b/>
          <w:bCs/>
          <w:spacing w:val="11"/>
          <w:sz w:val="24"/>
          <w:szCs w:val="24"/>
          <w:highlight w:val="none"/>
          <w:lang w:bidi="ar"/>
        </w:rPr>
      </w:pPr>
    </w:p>
    <w:p>
      <w:pPr>
        <w:spacing w:before="0" w:line="360" w:lineRule="auto"/>
        <w:ind w:left="0" w:right="0" w:firstLine="543"/>
        <w:rPr>
          <w:rFonts w:hint="eastAsia" w:ascii="仿宋" w:hAnsi="仿宋" w:eastAsia="仿宋" w:cs="仿宋"/>
          <w:spacing w:val="15"/>
          <w:sz w:val="24"/>
          <w:szCs w:val="24"/>
          <w:highlight w:val="none"/>
          <w14:textOutline w14:w="4358" w14:cap="sq" w14:cmpd="sng">
            <w14:solidFill>
              <w14:srgbClr w14:val="000000"/>
            </w14:solidFill>
            <w14:prstDash w14:val="solid"/>
            <w14:bevel/>
          </w14:textOutline>
        </w:rPr>
      </w:pPr>
    </w:p>
    <w:p>
      <w:pPr>
        <w:spacing w:line="360" w:lineRule="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 xml:space="preserve">甲方（签字/盖章）：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乙方(盖章)：银河期货有限公司</w:t>
      </w:r>
      <w:r>
        <w:rPr>
          <w:rFonts w:hint="eastAsia" w:ascii="仿宋" w:hAnsi="仿宋" w:eastAsia="仿宋" w:cs="仿宋"/>
          <w:b/>
          <w:bCs/>
          <w:kern w:val="0"/>
          <w:sz w:val="24"/>
          <w:szCs w:val="24"/>
          <w:highlight w:val="none"/>
        </w:rPr>
        <w:tab/>
      </w:r>
    </w:p>
    <w:p>
      <w:pPr>
        <w:spacing w:line="360" w:lineRule="auto"/>
        <w:rPr>
          <w:rFonts w:hint="eastAsia" w:ascii="仿宋" w:hAnsi="仿宋" w:eastAsia="仿宋" w:cs="仿宋"/>
          <w:b/>
          <w:bCs/>
          <w:kern w:val="0"/>
          <w:sz w:val="24"/>
          <w:szCs w:val="24"/>
          <w:highlight w:val="none"/>
        </w:rPr>
      </w:pPr>
    </w:p>
    <w:p>
      <w:pPr>
        <w:spacing w:line="360" w:lineRule="auto"/>
        <w:rPr>
          <w:rFonts w:hint="eastAsia" w:ascii="仿宋" w:hAnsi="仿宋" w:eastAsia="仿宋" w:cs="仿宋"/>
          <w:b/>
          <w:bCs/>
          <w:kern w:val="0"/>
          <w:sz w:val="24"/>
          <w:szCs w:val="24"/>
          <w:highlight w:val="none"/>
        </w:rPr>
      </w:pPr>
      <w:r>
        <w:rPr>
          <w:rFonts w:hint="eastAsia" w:ascii="仿宋" w:hAnsi="仿宋" w:eastAsia="仿宋" w:cs="仿宋"/>
          <w:b/>
          <w:bCs/>
          <w:kern w:val="0"/>
          <w:sz w:val="24"/>
          <w:szCs w:val="24"/>
          <w:highlight w:val="none"/>
        </w:rPr>
        <w:t xml:space="preserve">法定代表人/授权代理人(签字/盖章)：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法定代表人/授权代理人(签字/盖章)：</w:t>
      </w:r>
    </w:p>
    <w:p>
      <w:pPr>
        <w:spacing w:line="360" w:lineRule="auto"/>
        <w:rPr>
          <w:rFonts w:hint="eastAsia" w:ascii="仿宋" w:hAnsi="仿宋" w:eastAsia="仿宋" w:cs="仿宋"/>
          <w:b/>
          <w:bCs/>
          <w:kern w:val="0"/>
          <w:sz w:val="24"/>
          <w:szCs w:val="24"/>
          <w:highlight w:val="none"/>
        </w:rPr>
      </w:pPr>
    </w:p>
    <w:p>
      <w:pPr>
        <w:spacing w:line="360" w:lineRule="auto"/>
        <w:rPr>
          <w:rFonts w:hint="eastAsia" w:ascii="仿宋" w:hAnsi="仿宋" w:eastAsia="仿宋" w:cs="仿宋"/>
          <w:sz w:val="24"/>
          <w:szCs w:val="24"/>
          <w:highlight w:val="none"/>
        </w:rPr>
      </w:pPr>
      <w:r>
        <w:rPr>
          <w:rFonts w:hint="eastAsia" w:ascii="仿宋" w:hAnsi="仿宋" w:eastAsia="仿宋" w:cs="仿宋"/>
          <w:b/>
          <w:bCs/>
          <w:kern w:val="0"/>
          <w:sz w:val="24"/>
          <w:szCs w:val="24"/>
          <w:highlight w:val="none"/>
        </w:rPr>
        <w:t>日 期：</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年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月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日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日 期：</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年</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月</w:t>
      </w:r>
      <w:r>
        <w:rPr>
          <w:rFonts w:hint="eastAsia" w:ascii="仿宋" w:hAnsi="仿宋" w:eastAsia="仿宋" w:cs="仿宋"/>
          <w:b/>
          <w:bCs/>
          <w:kern w:val="0"/>
          <w:sz w:val="24"/>
          <w:szCs w:val="24"/>
          <w:highlight w:val="none"/>
          <w:lang w:val="en-US" w:eastAsia="zh-CN"/>
        </w:rPr>
        <w:t xml:space="preserve"> </w:t>
      </w:r>
      <w:r>
        <w:rPr>
          <w:rFonts w:hint="eastAsia" w:ascii="仿宋" w:hAnsi="仿宋" w:eastAsia="仿宋" w:cs="仿宋"/>
          <w:b/>
          <w:bCs/>
          <w:kern w:val="0"/>
          <w:sz w:val="24"/>
          <w:szCs w:val="24"/>
          <w:highlight w:val="none"/>
        </w:rPr>
        <w:t xml:space="preserve">  日</w:t>
      </w:r>
    </w:p>
    <w:p>
      <w:pPr>
        <w:spacing w:before="75" w:line="378" w:lineRule="auto"/>
        <w:ind w:left="22" w:right="23" w:firstLine="543"/>
        <w:rPr>
          <w:rFonts w:hint="eastAsia" w:ascii="仿宋" w:hAnsi="仿宋" w:eastAsia="仿宋" w:cs="仿宋"/>
          <w:spacing w:val="15"/>
          <w:sz w:val="23"/>
          <w:szCs w:val="23"/>
          <w:highlight w:val="none"/>
          <w14:textOutline w14:w="4358" w14:cap="sq" w14:cmpd="sng">
            <w14:solidFill>
              <w14:srgbClr w14:val="000000"/>
            </w14:solidFill>
            <w14:prstDash w14:val="solid"/>
            <w14:bevel/>
          </w14:textOutline>
        </w:rPr>
      </w:pPr>
    </w:p>
    <w:sectPr>
      <w:headerReference r:id="rId3" w:type="default"/>
      <w:footerReference r:id="rId4" w:type="default"/>
      <w:pgSz w:w="11900" w:h="16820"/>
      <w:pgMar w:top="720" w:right="720" w:bottom="720" w:left="720" w:header="283"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7150600"/>
    </w:sdtPr>
    <w:sdtContent>
      <w:p>
        <w:pPr>
          <w:pStyle w:val="10"/>
          <w:jc w:val="center"/>
        </w:pPr>
        <w:r>
          <w:fldChar w:fldCharType="begin"/>
        </w:r>
        <w:r>
          <w:instrText xml:space="preserve">PAGE   \* MERGEFORMAT</w:instrText>
        </w:r>
        <w:r>
          <w:fldChar w:fldCharType="separate"/>
        </w:r>
        <w:r>
          <w:rPr>
            <w:lang w:val="zh-CN"/>
          </w:rPr>
          <w:t>-</w:t>
        </w:r>
        <w:r>
          <w:t xml:space="preserve"> 12 -</w:t>
        </w:r>
        <w:r>
          <w:fldChar w:fldCharType="end"/>
        </w:r>
      </w:p>
    </w:sdtContent>
  </w:sdt>
  <w:p>
    <w:pPr>
      <w:pStyle w:val="10"/>
      <w:jc w:val="center"/>
      <w:rPr>
        <w:b/>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tabs>
        <w:tab w:val="center" w:pos="5230"/>
        <w:tab w:val="left" w:pos="8385"/>
        <w:tab w:val="right" w:pos="10280"/>
        <w:tab w:val="right" w:pos="10460"/>
      </w:tabs>
      <w:ind w:right="18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decimal"/>
      <w:pStyle w:val="48"/>
      <w:lvlText w:val="%1、"/>
      <w:lvlJc w:val="left"/>
      <w:pPr>
        <w:tabs>
          <w:tab w:val="left" w:pos="757"/>
        </w:tabs>
        <w:ind w:firstLine="397"/>
      </w:pPr>
      <w:rPr>
        <w:rFonts w:hint="default" w:cs="Times New Roman"/>
      </w:rPr>
    </w:lvl>
    <w:lvl w:ilvl="1" w:tentative="0">
      <w:start w:val="1"/>
      <w:numFmt w:val="bullet"/>
      <w:lvlText w:val=""/>
      <w:lvlJc w:val="left"/>
      <w:pPr>
        <w:tabs>
          <w:tab w:val="left" w:pos="840"/>
        </w:tabs>
        <w:ind w:left="840" w:hanging="420"/>
      </w:pPr>
      <w:rPr>
        <w:rFonts w:hint="default" w:ascii="Wingdings" w:hAnsi="Wingdings"/>
        <w:b w:val="0"/>
        <w:i w:val="0"/>
        <w:sz w:val="15"/>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trackRevisions w:val="1"/>
  <w:documentProtection w:edit="readOnly" w:enforcement="0"/>
  <w:defaultTabStop w:val="425"/>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g3MTg1OGY5ODI5NWRlNjI0YjkxZDY1ODRmZjcwZmMifQ=="/>
  </w:docVars>
  <w:rsids>
    <w:rsidRoot w:val="00172A27"/>
    <w:rsid w:val="00004DF4"/>
    <w:rsid w:val="000126BE"/>
    <w:rsid w:val="000134D7"/>
    <w:rsid w:val="00020C4A"/>
    <w:rsid w:val="00027D20"/>
    <w:rsid w:val="00043ED9"/>
    <w:rsid w:val="00053B5D"/>
    <w:rsid w:val="00053CD9"/>
    <w:rsid w:val="00060F34"/>
    <w:rsid w:val="00064C50"/>
    <w:rsid w:val="00072A9D"/>
    <w:rsid w:val="000734D8"/>
    <w:rsid w:val="00076DF4"/>
    <w:rsid w:val="000845C0"/>
    <w:rsid w:val="0008700E"/>
    <w:rsid w:val="00091BD7"/>
    <w:rsid w:val="00093733"/>
    <w:rsid w:val="000B10EF"/>
    <w:rsid w:val="000C2848"/>
    <w:rsid w:val="000D2A81"/>
    <w:rsid w:val="000D3848"/>
    <w:rsid w:val="000E516E"/>
    <w:rsid w:val="000E5F93"/>
    <w:rsid w:val="000E606E"/>
    <w:rsid w:val="000F243D"/>
    <w:rsid w:val="00101053"/>
    <w:rsid w:val="00104395"/>
    <w:rsid w:val="00105E39"/>
    <w:rsid w:val="00110968"/>
    <w:rsid w:val="001111E8"/>
    <w:rsid w:val="00115ED7"/>
    <w:rsid w:val="00116280"/>
    <w:rsid w:val="00116D81"/>
    <w:rsid w:val="00120F96"/>
    <w:rsid w:val="00131378"/>
    <w:rsid w:val="00143E71"/>
    <w:rsid w:val="00147BBC"/>
    <w:rsid w:val="0015791D"/>
    <w:rsid w:val="00172A27"/>
    <w:rsid w:val="001741E5"/>
    <w:rsid w:val="00174ECA"/>
    <w:rsid w:val="0017733A"/>
    <w:rsid w:val="0018763B"/>
    <w:rsid w:val="001A77DF"/>
    <w:rsid w:val="001B45CF"/>
    <w:rsid w:val="001B55F6"/>
    <w:rsid w:val="001B68A8"/>
    <w:rsid w:val="001B6B61"/>
    <w:rsid w:val="001C33A1"/>
    <w:rsid w:val="001D03F1"/>
    <w:rsid w:val="001D3206"/>
    <w:rsid w:val="001D493D"/>
    <w:rsid w:val="001D6307"/>
    <w:rsid w:val="001E087C"/>
    <w:rsid w:val="001E5776"/>
    <w:rsid w:val="001F4BD4"/>
    <w:rsid w:val="0020032E"/>
    <w:rsid w:val="00202589"/>
    <w:rsid w:val="002066AC"/>
    <w:rsid w:val="002102DF"/>
    <w:rsid w:val="00211E63"/>
    <w:rsid w:val="00237373"/>
    <w:rsid w:val="00252C71"/>
    <w:rsid w:val="0026152A"/>
    <w:rsid w:val="00267DD5"/>
    <w:rsid w:val="00275C3B"/>
    <w:rsid w:val="00277D3A"/>
    <w:rsid w:val="00285F5E"/>
    <w:rsid w:val="002875E0"/>
    <w:rsid w:val="00292BAB"/>
    <w:rsid w:val="00295206"/>
    <w:rsid w:val="002A1D1F"/>
    <w:rsid w:val="002A479E"/>
    <w:rsid w:val="002B14FE"/>
    <w:rsid w:val="002B5F77"/>
    <w:rsid w:val="002C3B06"/>
    <w:rsid w:val="002C5A4F"/>
    <w:rsid w:val="002D1FD9"/>
    <w:rsid w:val="002D6275"/>
    <w:rsid w:val="002D69AB"/>
    <w:rsid w:val="002E1339"/>
    <w:rsid w:val="002E16EB"/>
    <w:rsid w:val="002E36D5"/>
    <w:rsid w:val="002E5EF6"/>
    <w:rsid w:val="002E75E1"/>
    <w:rsid w:val="002F4C3A"/>
    <w:rsid w:val="002F7F6D"/>
    <w:rsid w:val="00307BE0"/>
    <w:rsid w:val="00320693"/>
    <w:rsid w:val="00323831"/>
    <w:rsid w:val="00335846"/>
    <w:rsid w:val="00335879"/>
    <w:rsid w:val="0034057E"/>
    <w:rsid w:val="003476F4"/>
    <w:rsid w:val="00351663"/>
    <w:rsid w:val="00353753"/>
    <w:rsid w:val="00367509"/>
    <w:rsid w:val="003740DC"/>
    <w:rsid w:val="00375B33"/>
    <w:rsid w:val="00380310"/>
    <w:rsid w:val="003844E9"/>
    <w:rsid w:val="00397958"/>
    <w:rsid w:val="003A170E"/>
    <w:rsid w:val="003C2EB3"/>
    <w:rsid w:val="003D402F"/>
    <w:rsid w:val="003F1F43"/>
    <w:rsid w:val="003F38B4"/>
    <w:rsid w:val="004045F1"/>
    <w:rsid w:val="00414E4F"/>
    <w:rsid w:val="00420FD2"/>
    <w:rsid w:val="00421652"/>
    <w:rsid w:val="00421A24"/>
    <w:rsid w:val="004231AD"/>
    <w:rsid w:val="0043012A"/>
    <w:rsid w:val="00430906"/>
    <w:rsid w:val="00453710"/>
    <w:rsid w:val="00454900"/>
    <w:rsid w:val="00457BAD"/>
    <w:rsid w:val="00470569"/>
    <w:rsid w:val="00486E47"/>
    <w:rsid w:val="004877D4"/>
    <w:rsid w:val="00490278"/>
    <w:rsid w:val="00490B8A"/>
    <w:rsid w:val="004A28DF"/>
    <w:rsid w:val="004A30D0"/>
    <w:rsid w:val="004A42CA"/>
    <w:rsid w:val="004A7CCB"/>
    <w:rsid w:val="004B745C"/>
    <w:rsid w:val="004B7D23"/>
    <w:rsid w:val="004B7D8F"/>
    <w:rsid w:val="004C13E7"/>
    <w:rsid w:val="004C1BD7"/>
    <w:rsid w:val="004C2A69"/>
    <w:rsid w:val="004C4A3B"/>
    <w:rsid w:val="004D18EE"/>
    <w:rsid w:val="004E1497"/>
    <w:rsid w:val="004E460C"/>
    <w:rsid w:val="004E5349"/>
    <w:rsid w:val="004E6B5A"/>
    <w:rsid w:val="004F3D35"/>
    <w:rsid w:val="00506AB4"/>
    <w:rsid w:val="00515C5E"/>
    <w:rsid w:val="00521AC7"/>
    <w:rsid w:val="00526341"/>
    <w:rsid w:val="005263EF"/>
    <w:rsid w:val="00531402"/>
    <w:rsid w:val="00532769"/>
    <w:rsid w:val="0053745C"/>
    <w:rsid w:val="0054506C"/>
    <w:rsid w:val="0054699D"/>
    <w:rsid w:val="005536FE"/>
    <w:rsid w:val="005537AB"/>
    <w:rsid w:val="00557303"/>
    <w:rsid w:val="00560179"/>
    <w:rsid w:val="005601FE"/>
    <w:rsid w:val="005660B6"/>
    <w:rsid w:val="0056790C"/>
    <w:rsid w:val="0057326B"/>
    <w:rsid w:val="00577CE0"/>
    <w:rsid w:val="00590673"/>
    <w:rsid w:val="00591F5C"/>
    <w:rsid w:val="0059224F"/>
    <w:rsid w:val="005B1BDF"/>
    <w:rsid w:val="005B3852"/>
    <w:rsid w:val="005D4710"/>
    <w:rsid w:val="005D58D7"/>
    <w:rsid w:val="005E102A"/>
    <w:rsid w:val="005E58DD"/>
    <w:rsid w:val="005E5AB3"/>
    <w:rsid w:val="00605CD8"/>
    <w:rsid w:val="0061010A"/>
    <w:rsid w:val="006134F2"/>
    <w:rsid w:val="00622114"/>
    <w:rsid w:val="00624E2D"/>
    <w:rsid w:val="00631CCC"/>
    <w:rsid w:val="00641744"/>
    <w:rsid w:val="0064403D"/>
    <w:rsid w:val="0065431F"/>
    <w:rsid w:val="0065706B"/>
    <w:rsid w:val="00657DFD"/>
    <w:rsid w:val="0066158A"/>
    <w:rsid w:val="0066413A"/>
    <w:rsid w:val="00677EDF"/>
    <w:rsid w:val="0068117C"/>
    <w:rsid w:val="00683CE4"/>
    <w:rsid w:val="00693627"/>
    <w:rsid w:val="00693A04"/>
    <w:rsid w:val="006944C9"/>
    <w:rsid w:val="006A1EC1"/>
    <w:rsid w:val="006A5B36"/>
    <w:rsid w:val="006B3B7B"/>
    <w:rsid w:val="006B5743"/>
    <w:rsid w:val="006B76B7"/>
    <w:rsid w:val="006C3E00"/>
    <w:rsid w:val="006D18DF"/>
    <w:rsid w:val="006F4E6B"/>
    <w:rsid w:val="00712C17"/>
    <w:rsid w:val="00725A5C"/>
    <w:rsid w:val="00726FC0"/>
    <w:rsid w:val="007345EC"/>
    <w:rsid w:val="00735FF4"/>
    <w:rsid w:val="0074472A"/>
    <w:rsid w:val="00744D58"/>
    <w:rsid w:val="007514C0"/>
    <w:rsid w:val="0075225F"/>
    <w:rsid w:val="00753FB8"/>
    <w:rsid w:val="00771447"/>
    <w:rsid w:val="00774C61"/>
    <w:rsid w:val="00774C96"/>
    <w:rsid w:val="007836D2"/>
    <w:rsid w:val="00787144"/>
    <w:rsid w:val="007965D6"/>
    <w:rsid w:val="007A6E1D"/>
    <w:rsid w:val="007C0C18"/>
    <w:rsid w:val="007C1CCA"/>
    <w:rsid w:val="007C2293"/>
    <w:rsid w:val="007D14E4"/>
    <w:rsid w:val="007D1EBA"/>
    <w:rsid w:val="007D6D8E"/>
    <w:rsid w:val="007E296C"/>
    <w:rsid w:val="007E6B81"/>
    <w:rsid w:val="007F52B6"/>
    <w:rsid w:val="00803EFF"/>
    <w:rsid w:val="008072C7"/>
    <w:rsid w:val="00824BEB"/>
    <w:rsid w:val="008442D0"/>
    <w:rsid w:val="0084621C"/>
    <w:rsid w:val="008462E3"/>
    <w:rsid w:val="00847C80"/>
    <w:rsid w:val="00857EA5"/>
    <w:rsid w:val="00860278"/>
    <w:rsid w:val="00865C28"/>
    <w:rsid w:val="00870ED7"/>
    <w:rsid w:val="00871542"/>
    <w:rsid w:val="008866D4"/>
    <w:rsid w:val="00886F9F"/>
    <w:rsid w:val="00892B9A"/>
    <w:rsid w:val="0089586E"/>
    <w:rsid w:val="008B5F77"/>
    <w:rsid w:val="008C10BE"/>
    <w:rsid w:val="008D0E77"/>
    <w:rsid w:val="008E69E6"/>
    <w:rsid w:val="008E726B"/>
    <w:rsid w:val="008F0474"/>
    <w:rsid w:val="008F4090"/>
    <w:rsid w:val="00910195"/>
    <w:rsid w:val="00912662"/>
    <w:rsid w:val="00923389"/>
    <w:rsid w:val="00925851"/>
    <w:rsid w:val="00931352"/>
    <w:rsid w:val="009325AB"/>
    <w:rsid w:val="00937802"/>
    <w:rsid w:val="00940188"/>
    <w:rsid w:val="00944F74"/>
    <w:rsid w:val="00951433"/>
    <w:rsid w:val="009563A6"/>
    <w:rsid w:val="0096612C"/>
    <w:rsid w:val="00966E0A"/>
    <w:rsid w:val="009672F7"/>
    <w:rsid w:val="009711B2"/>
    <w:rsid w:val="0097128C"/>
    <w:rsid w:val="009759CE"/>
    <w:rsid w:val="00986235"/>
    <w:rsid w:val="0099276D"/>
    <w:rsid w:val="009970BB"/>
    <w:rsid w:val="009B225B"/>
    <w:rsid w:val="009D423D"/>
    <w:rsid w:val="009F15D7"/>
    <w:rsid w:val="00A01AAB"/>
    <w:rsid w:val="00A06C02"/>
    <w:rsid w:val="00A135DD"/>
    <w:rsid w:val="00A22BCB"/>
    <w:rsid w:val="00A22D0B"/>
    <w:rsid w:val="00A26AB6"/>
    <w:rsid w:val="00A277AA"/>
    <w:rsid w:val="00A27CEF"/>
    <w:rsid w:val="00A40DD9"/>
    <w:rsid w:val="00A52FD3"/>
    <w:rsid w:val="00A53C2A"/>
    <w:rsid w:val="00A5423D"/>
    <w:rsid w:val="00A62358"/>
    <w:rsid w:val="00A644F7"/>
    <w:rsid w:val="00A656F2"/>
    <w:rsid w:val="00A72E87"/>
    <w:rsid w:val="00A828D5"/>
    <w:rsid w:val="00A82C30"/>
    <w:rsid w:val="00A879AB"/>
    <w:rsid w:val="00A90485"/>
    <w:rsid w:val="00A922EA"/>
    <w:rsid w:val="00A94B34"/>
    <w:rsid w:val="00AA3D7C"/>
    <w:rsid w:val="00AA3E92"/>
    <w:rsid w:val="00AA6B31"/>
    <w:rsid w:val="00AA7543"/>
    <w:rsid w:val="00AC39C7"/>
    <w:rsid w:val="00AC7776"/>
    <w:rsid w:val="00AD1A03"/>
    <w:rsid w:val="00AD1BA7"/>
    <w:rsid w:val="00AD5F34"/>
    <w:rsid w:val="00AD5F5E"/>
    <w:rsid w:val="00AE0488"/>
    <w:rsid w:val="00AE69DB"/>
    <w:rsid w:val="00AF441D"/>
    <w:rsid w:val="00B07AA8"/>
    <w:rsid w:val="00B14437"/>
    <w:rsid w:val="00B144AD"/>
    <w:rsid w:val="00B173B4"/>
    <w:rsid w:val="00B207E5"/>
    <w:rsid w:val="00B216AA"/>
    <w:rsid w:val="00B23DEE"/>
    <w:rsid w:val="00B32FEA"/>
    <w:rsid w:val="00B3497E"/>
    <w:rsid w:val="00B40EE7"/>
    <w:rsid w:val="00B415AC"/>
    <w:rsid w:val="00B422AD"/>
    <w:rsid w:val="00B424B8"/>
    <w:rsid w:val="00B4346D"/>
    <w:rsid w:val="00B54116"/>
    <w:rsid w:val="00B72662"/>
    <w:rsid w:val="00B82E0A"/>
    <w:rsid w:val="00B94920"/>
    <w:rsid w:val="00BA2181"/>
    <w:rsid w:val="00BB3EEF"/>
    <w:rsid w:val="00BC0CEE"/>
    <w:rsid w:val="00BD51FA"/>
    <w:rsid w:val="00BE2FD0"/>
    <w:rsid w:val="00BF0FFE"/>
    <w:rsid w:val="00C02754"/>
    <w:rsid w:val="00C15BC1"/>
    <w:rsid w:val="00C16084"/>
    <w:rsid w:val="00C46A0F"/>
    <w:rsid w:val="00C74554"/>
    <w:rsid w:val="00CA5FEA"/>
    <w:rsid w:val="00CA6509"/>
    <w:rsid w:val="00CB221F"/>
    <w:rsid w:val="00CD1EF6"/>
    <w:rsid w:val="00CD538C"/>
    <w:rsid w:val="00CD69D0"/>
    <w:rsid w:val="00CE2EA7"/>
    <w:rsid w:val="00CE6B24"/>
    <w:rsid w:val="00D00B95"/>
    <w:rsid w:val="00D05F92"/>
    <w:rsid w:val="00D21D56"/>
    <w:rsid w:val="00D24E99"/>
    <w:rsid w:val="00D317EC"/>
    <w:rsid w:val="00D33B99"/>
    <w:rsid w:val="00D42D38"/>
    <w:rsid w:val="00D4551C"/>
    <w:rsid w:val="00D55BA3"/>
    <w:rsid w:val="00D62161"/>
    <w:rsid w:val="00D67133"/>
    <w:rsid w:val="00D718AC"/>
    <w:rsid w:val="00DA2382"/>
    <w:rsid w:val="00DA7499"/>
    <w:rsid w:val="00DC14F8"/>
    <w:rsid w:val="00DC1ED6"/>
    <w:rsid w:val="00DC2BC6"/>
    <w:rsid w:val="00DD3B7A"/>
    <w:rsid w:val="00DE5BD5"/>
    <w:rsid w:val="00DE67B5"/>
    <w:rsid w:val="00E03537"/>
    <w:rsid w:val="00E106C7"/>
    <w:rsid w:val="00E13033"/>
    <w:rsid w:val="00E23CD0"/>
    <w:rsid w:val="00E24BC1"/>
    <w:rsid w:val="00E3264D"/>
    <w:rsid w:val="00E42E93"/>
    <w:rsid w:val="00E43D38"/>
    <w:rsid w:val="00E50FC1"/>
    <w:rsid w:val="00E53E9F"/>
    <w:rsid w:val="00E55058"/>
    <w:rsid w:val="00E60D6E"/>
    <w:rsid w:val="00E63031"/>
    <w:rsid w:val="00E64CE1"/>
    <w:rsid w:val="00E6605E"/>
    <w:rsid w:val="00E6727B"/>
    <w:rsid w:val="00E67385"/>
    <w:rsid w:val="00E76CB1"/>
    <w:rsid w:val="00E815EC"/>
    <w:rsid w:val="00EA50E4"/>
    <w:rsid w:val="00ED34A1"/>
    <w:rsid w:val="00ED6909"/>
    <w:rsid w:val="00EE71AE"/>
    <w:rsid w:val="00EE7F35"/>
    <w:rsid w:val="00EF12E6"/>
    <w:rsid w:val="00EF74EF"/>
    <w:rsid w:val="00F106D8"/>
    <w:rsid w:val="00F138FB"/>
    <w:rsid w:val="00F20334"/>
    <w:rsid w:val="00F269E3"/>
    <w:rsid w:val="00F27D56"/>
    <w:rsid w:val="00F37710"/>
    <w:rsid w:val="00F520C1"/>
    <w:rsid w:val="00F61F24"/>
    <w:rsid w:val="00F64942"/>
    <w:rsid w:val="00F8198C"/>
    <w:rsid w:val="00F86E22"/>
    <w:rsid w:val="00F9050F"/>
    <w:rsid w:val="00F90F01"/>
    <w:rsid w:val="00F95EAD"/>
    <w:rsid w:val="00FA18B7"/>
    <w:rsid w:val="00FA497E"/>
    <w:rsid w:val="00FB325D"/>
    <w:rsid w:val="00FB5602"/>
    <w:rsid w:val="00FB742C"/>
    <w:rsid w:val="00FC4AC9"/>
    <w:rsid w:val="00FC64BC"/>
    <w:rsid w:val="00FC7A75"/>
    <w:rsid w:val="00FD36F2"/>
    <w:rsid w:val="00FD4687"/>
    <w:rsid w:val="00FD4E75"/>
    <w:rsid w:val="00FD6E17"/>
    <w:rsid w:val="00FE1C89"/>
    <w:rsid w:val="00FE4497"/>
    <w:rsid w:val="00FF7840"/>
    <w:rsid w:val="01050F22"/>
    <w:rsid w:val="012313A8"/>
    <w:rsid w:val="014D4A30"/>
    <w:rsid w:val="0192652E"/>
    <w:rsid w:val="01C761D7"/>
    <w:rsid w:val="021F6013"/>
    <w:rsid w:val="02DA6C6B"/>
    <w:rsid w:val="03215DBB"/>
    <w:rsid w:val="03795BF7"/>
    <w:rsid w:val="03E31D35"/>
    <w:rsid w:val="03EA2651"/>
    <w:rsid w:val="04043713"/>
    <w:rsid w:val="04A9325A"/>
    <w:rsid w:val="04AE1913"/>
    <w:rsid w:val="050B6D23"/>
    <w:rsid w:val="056C5A14"/>
    <w:rsid w:val="063A497D"/>
    <w:rsid w:val="065344DE"/>
    <w:rsid w:val="065D35AE"/>
    <w:rsid w:val="067D77AC"/>
    <w:rsid w:val="06B34F7C"/>
    <w:rsid w:val="06C929F2"/>
    <w:rsid w:val="06EF0BC3"/>
    <w:rsid w:val="06FC4B75"/>
    <w:rsid w:val="072F2BE1"/>
    <w:rsid w:val="073D0B6D"/>
    <w:rsid w:val="0789113C"/>
    <w:rsid w:val="082F3866"/>
    <w:rsid w:val="0892150B"/>
    <w:rsid w:val="08B245B2"/>
    <w:rsid w:val="08FC45E3"/>
    <w:rsid w:val="091C14FF"/>
    <w:rsid w:val="09257CD5"/>
    <w:rsid w:val="0A951569"/>
    <w:rsid w:val="0AA25A34"/>
    <w:rsid w:val="0B470907"/>
    <w:rsid w:val="0B7A2ACF"/>
    <w:rsid w:val="0B9C008B"/>
    <w:rsid w:val="0BC10AF5"/>
    <w:rsid w:val="0BCF2858"/>
    <w:rsid w:val="0C0A7D34"/>
    <w:rsid w:val="0C5517FF"/>
    <w:rsid w:val="0C5D7E40"/>
    <w:rsid w:val="0C6E3391"/>
    <w:rsid w:val="0D8214CE"/>
    <w:rsid w:val="0D934F84"/>
    <w:rsid w:val="0E172295"/>
    <w:rsid w:val="0E59465B"/>
    <w:rsid w:val="0E6D45AA"/>
    <w:rsid w:val="0F026AA1"/>
    <w:rsid w:val="0FA605E4"/>
    <w:rsid w:val="0FBE2B5A"/>
    <w:rsid w:val="10005C3C"/>
    <w:rsid w:val="10121FF2"/>
    <w:rsid w:val="10922B9F"/>
    <w:rsid w:val="111737C6"/>
    <w:rsid w:val="11651569"/>
    <w:rsid w:val="11753373"/>
    <w:rsid w:val="11CC3396"/>
    <w:rsid w:val="124E64BD"/>
    <w:rsid w:val="12883761"/>
    <w:rsid w:val="13345EAC"/>
    <w:rsid w:val="13947EBA"/>
    <w:rsid w:val="13C7475D"/>
    <w:rsid w:val="1507315A"/>
    <w:rsid w:val="153F7058"/>
    <w:rsid w:val="155C2C83"/>
    <w:rsid w:val="157E0E4B"/>
    <w:rsid w:val="15AF7257"/>
    <w:rsid w:val="15E11B06"/>
    <w:rsid w:val="15EC35BD"/>
    <w:rsid w:val="162C08A7"/>
    <w:rsid w:val="1638549E"/>
    <w:rsid w:val="16571DC8"/>
    <w:rsid w:val="16873D30"/>
    <w:rsid w:val="16DF3A43"/>
    <w:rsid w:val="16E04D50"/>
    <w:rsid w:val="16EF3DAF"/>
    <w:rsid w:val="1706559C"/>
    <w:rsid w:val="17066356"/>
    <w:rsid w:val="17832749"/>
    <w:rsid w:val="178A7F7B"/>
    <w:rsid w:val="181823CE"/>
    <w:rsid w:val="1818352B"/>
    <w:rsid w:val="18290EC6"/>
    <w:rsid w:val="186C7681"/>
    <w:rsid w:val="18972950"/>
    <w:rsid w:val="189746FE"/>
    <w:rsid w:val="18A85311"/>
    <w:rsid w:val="18B2778A"/>
    <w:rsid w:val="18B708FC"/>
    <w:rsid w:val="18D6750B"/>
    <w:rsid w:val="18F90F15"/>
    <w:rsid w:val="190A3122"/>
    <w:rsid w:val="192561AE"/>
    <w:rsid w:val="193F5818"/>
    <w:rsid w:val="195E521C"/>
    <w:rsid w:val="19F618F8"/>
    <w:rsid w:val="1A501008"/>
    <w:rsid w:val="1A6F65C0"/>
    <w:rsid w:val="1B170DA5"/>
    <w:rsid w:val="1B697EA8"/>
    <w:rsid w:val="1B6D5BEA"/>
    <w:rsid w:val="1B882A24"/>
    <w:rsid w:val="1BB9498B"/>
    <w:rsid w:val="1BE34B0B"/>
    <w:rsid w:val="1C224C26"/>
    <w:rsid w:val="1C4F3541"/>
    <w:rsid w:val="1C694603"/>
    <w:rsid w:val="1C76287C"/>
    <w:rsid w:val="1CF824BC"/>
    <w:rsid w:val="1E8B0B36"/>
    <w:rsid w:val="1EB12291"/>
    <w:rsid w:val="1EDF4BCA"/>
    <w:rsid w:val="1F2B3DF2"/>
    <w:rsid w:val="1F3A67A1"/>
    <w:rsid w:val="20036B1D"/>
    <w:rsid w:val="21300867"/>
    <w:rsid w:val="213B4094"/>
    <w:rsid w:val="21D106FB"/>
    <w:rsid w:val="22513B6F"/>
    <w:rsid w:val="238979C6"/>
    <w:rsid w:val="239643B6"/>
    <w:rsid w:val="23C2284B"/>
    <w:rsid w:val="23D408E2"/>
    <w:rsid w:val="23FF36B0"/>
    <w:rsid w:val="24DF041B"/>
    <w:rsid w:val="25F27417"/>
    <w:rsid w:val="265E4B2A"/>
    <w:rsid w:val="26F61189"/>
    <w:rsid w:val="27677991"/>
    <w:rsid w:val="27C748D4"/>
    <w:rsid w:val="2858552C"/>
    <w:rsid w:val="288E0F4E"/>
    <w:rsid w:val="28EF5E90"/>
    <w:rsid w:val="29847044"/>
    <w:rsid w:val="2A427D35"/>
    <w:rsid w:val="2A815605"/>
    <w:rsid w:val="2AAD6003"/>
    <w:rsid w:val="2B1F0554"/>
    <w:rsid w:val="2B293B50"/>
    <w:rsid w:val="2B6E5792"/>
    <w:rsid w:val="2BD61A90"/>
    <w:rsid w:val="2BDD6474"/>
    <w:rsid w:val="2CB36875"/>
    <w:rsid w:val="2D0669E7"/>
    <w:rsid w:val="2D340315"/>
    <w:rsid w:val="2D3B1714"/>
    <w:rsid w:val="2D3B5B48"/>
    <w:rsid w:val="2D746964"/>
    <w:rsid w:val="2D92701F"/>
    <w:rsid w:val="2DC51A8B"/>
    <w:rsid w:val="2DF26D45"/>
    <w:rsid w:val="2E5844D8"/>
    <w:rsid w:val="2EAD65D1"/>
    <w:rsid w:val="2EC35DF5"/>
    <w:rsid w:val="2EEB70FA"/>
    <w:rsid w:val="2F0A3A24"/>
    <w:rsid w:val="2F0F103A"/>
    <w:rsid w:val="2F345781"/>
    <w:rsid w:val="2F375116"/>
    <w:rsid w:val="2F47263F"/>
    <w:rsid w:val="2F5E167A"/>
    <w:rsid w:val="2F5E78CC"/>
    <w:rsid w:val="2F8D1F5F"/>
    <w:rsid w:val="3045283A"/>
    <w:rsid w:val="30801AC4"/>
    <w:rsid w:val="308B2942"/>
    <w:rsid w:val="30BF4099"/>
    <w:rsid w:val="30DB6CFA"/>
    <w:rsid w:val="30DF67EA"/>
    <w:rsid w:val="31003887"/>
    <w:rsid w:val="316A172D"/>
    <w:rsid w:val="31B711AB"/>
    <w:rsid w:val="32D94CDA"/>
    <w:rsid w:val="339A10EE"/>
    <w:rsid w:val="33BA130C"/>
    <w:rsid w:val="33CE4B42"/>
    <w:rsid w:val="33F46A50"/>
    <w:rsid w:val="350E3B42"/>
    <w:rsid w:val="35731BF7"/>
    <w:rsid w:val="35984836"/>
    <w:rsid w:val="35B50461"/>
    <w:rsid w:val="35EF49BE"/>
    <w:rsid w:val="35FD2BAC"/>
    <w:rsid w:val="36036573"/>
    <w:rsid w:val="364F4412"/>
    <w:rsid w:val="3650458C"/>
    <w:rsid w:val="369D2B73"/>
    <w:rsid w:val="36DD557A"/>
    <w:rsid w:val="36E474A7"/>
    <w:rsid w:val="37887BDC"/>
    <w:rsid w:val="37AB5678"/>
    <w:rsid w:val="37B37D36"/>
    <w:rsid w:val="37FC5BAE"/>
    <w:rsid w:val="38514471"/>
    <w:rsid w:val="38E2331B"/>
    <w:rsid w:val="38EB3169"/>
    <w:rsid w:val="39110635"/>
    <w:rsid w:val="396C7C6D"/>
    <w:rsid w:val="3A6574EB"/>
    <w:rsid w:val="3ACA050B"/>
    <w:rsid w:val="3AEA295B"/>
    <w:rsid w:val="3AF17846"/>
    <w:rsid w:val="3B6E70E8"/>
    <w:rsid w:val="3B9A612F"/>
    <w:rsid w:val="3BBF5B96"/>
    <w:rsid w:val="3BD553B9"/>
    <w:rsid w:val="3BDC04F6"/>
    <w:rsid w:val="3BFD221A"/>
    <w:rsid w:val="3C047A4D"/>
    <w:rsid w:val="3C437AB3"/>
    <w:rsid w:val="3C8610D3"/>
    <w:rsid w:val="3D6267D9"/>
    <w:rsid w:val="3D8449A1"/>
    <w:rsid w:val="3DDA6CB7"/>
    <w:rsid w:val="3DE511B8"/>
    <w:rsid w:val="3E2B07F0"/>
    <w:rsid w:val="3E38578C"/>
    <w:rsid w:val="3E7E19DC"/>
    <w:rsid w:val="3E9230EE"/>
    <w:rsid w:val="3EAB41B0"/>
    <w:rsid w:val="3EB47508"/>
    <w:rsid w:val="3ECA0ADA"/>
    <w:rsid w:val="3F0D0127"/>
    <w:rsid w:val="3F2D72BA"/>
    <w:rsid w:val="3F530001"/>
    <w:rsid w:val="3F5900B0"/>
    <w:rsid w:val="3F5B2FAB"/>
    <w:rsid w:val="3F9904AC"/>
    <w:rsid w:val="3FC47C67"/>
    <w:rsid w:val="403003DC"/>
    <w:rsid w:val="40D43E92"/>
    <w:rsid w:val="40E1035D"/>
    <w:rsid w:val="40ED4F53"/>
    <w:rsid w:val="41272213"/>
    <w:rsid w:val="415B3C6B"/>
    <w:rsid w:val="41C21F3C"/>
    <w:rsid w:val="41E07D3E"/>
    <w:rsid w:val="41EE4ADF"/>
    <w:rsid w:val="42023422"/>
    <w:rsid w:val="423D08FD"/>
    <w:rsid w:val="42562684"/>
    <w:rsid w:val="436239D7"/>
    <w:rsid w:val="436D3F45"/>
    <w:rsid w:val="43FD725B"/>
    <w:rsid w:val="44273A03"/>
    <w:rsid w:val="44466E54"/>
    <w:rsid w:val="444D1D6E"/>
    <w:rsid w:val="4470495E"/>
    <w:rsid w:val="451A5BEB"/>
    <w:rsid w:val="452E1696"/>
    <w:rsid w:val="456D21BF"/>
    <w:rsid w:val="45A76ED7"/>
    <w:rsid w:val="45B11680"/>
    <w:rsid w:val="45DD492F"/>
    <w:rsid w:val="4698770F"/>
    <w:rsid w:val="46AC31BB"/>
    <w:rsid w:val="46B17021"/>
    <w:rsid w:val="46D205F1"/>
    <w:rsid w:val="474B6530"/>
    <w:rsid w:val="47D65556"/>
    <w:rsid w:val="48272AF9"/>
    <w:rsid w:val="4876582E"/>
    <w:rsid w:val="49080B7C"/>
    <w:rsid w:val="49152106"/>
    <w:rsid w:val="491749EF"/>
    <w:rsid w:val="499D6C11"/>
    <w:rsid w:val="49A563CB"/>
    <w:rsid w:val="4A273284"/>
    <w:rsid w:val="4A895CED"/>
    <w:rsid w:val="4AAF6AAC"/>
    <w:rsid w:val="4AF56EDE"/>
    <w:rsid w:val="4BE64946"/>
    <w:rsid w:val="4C3C0B3D"/>
    <w:rsid w:val="4C4D68A6"/>
    <w:rsid w:val="4C8A7AFA"/>
    <w:rsid w:val="4C9E7102"/>
    <w:rsid w:val="4CD05F61"/>
    <w:rsid w:val="4D07739D"/>
    <w:rsid w:val="4D0828E4"/>
    <w:rsid w:val="4D565C2E"/>
    <w:rsid w:val="4D740635"/>
    <w:rsid w:val="4DA846DC"/>
    <w:rsid w:val="4DBF5582"/>
    <w:rsid w:val="4E173610"/>
    <w:rsid w:val="4EA50C1B"/>
    <w:rsid w:val="4EB33338"/>
    <w:rsid w:val="4EDB2381"/>
    <w:rsid w:val="4F5D4EF1"/>
    <w:rsid w:val="4F60335A"/>
    <w:rsid w:val="4FC11A85"/>
    <w:rsid w:val="4FCC5F1B"/>
    <w:rsid w:val="4FCF01DE"/>
    <w:rsid w:val="4FE82AB5"/>
    <w:rsid w:val="501222E0"/>
    <w:rsid w:val="50597F0F"/>
    <w:rsid w:val="509B0528"/>
    <w:rsid w:val="51142088"/>
    <w:rsid w:val="51595CED"/>
    <w:rsid w:val="517F5754"/>
    <w:rsid w:val="521A5270"/>
    <w:rsid w:val="521A7083"/>
    <w:rsid w:val="52271947"/>
    <w:rsid w:val="523227C6"/>
    <w:rsid w:val="526F608F"/>
    <w:rsid w:val="52B95D2A"/>
    <w:rsid w:val="53634C01"/>
    <w:rsid w:val="53822C25"/>
    <w:rsid w:val="538B47B5"/>
    <w:rsid w:val="540A1D51"/>
    <w:rsid w:val="54745318"/>
    <w:rsid w:val="55052414"/>
    <w:rsid w:val="551D5F9C"/>
    <w:rsid w:val="554223FD"/>
    <w:rsid w:val="55436A98"/>
    <w:rsid w:val="55794BB0"/>
    <w:rsid w:val="563A433F"/>
    <w:rsid w:val="56C500AD"/>
    <w:rsid w:val="56CA2991"/>
    <w:rsid w:val="571B4DF4"/>
    <w:rsid w:val="57435475"/>
    <w:rsid w:val="575A31E5"/>
    <w:rsid w:val="57814A8E"/>
    <w:rsid w:val="578C4726"/>
    <w:rsid w:val="57CF0AB7"/>
    <w:rsid w:val="57E502DB"/>
    <w:rsid w:val="57F86260"/>
    <w:rsid w:val="57FF139C"/>
    <w:rsid w:val="58026C65"/>
    <w:rsid w:val="58767185"/>
    <w:rsid w:val="58D40D13"/>
    <w:rsid w:val="58F20F01"/>
    <w:rsid w:val="594924CF"/>
    <w:rsid w:val="5952374E"/>
    <w:rsid w:val="59D979CB"/>
    <w:rsid w:val="59F14D15"/>
    <w:rsid w:val="59FA62BF"/>
    <w:rsid w:val="59FD5DAF"/>
    <w:rsid w:val="5A24637D"/>
    <w:rsid w:val="5A3F1F24"/>
    <w:rsid w:val="5B01367D"/>
    <w:rsid w:val="5B576D98"/>
    <w:rsid w:val="5B6440FF"/>
    <w:rsid w:val="5BA81D4B"/>
    <w:rsid w:val="5BAD110F"/>
    <w:rsid w:val="5C1967A5"/>
    <w:rsid w:val="5C734107"/>
    <w:rsid w:val="5CA40764"/>
    <w:rsid w:val="5D5C1EA3"/>
    <w:rsid w:val="5D616655"/>
    <w:rsid w:val="5DA30A1C"/>
    <w:rsid w:val="5DB83772"/>
    <w:rsid w:val="5DCD5A99"/>
    <w:rsid w:val="5E135BA1"/>
    <w:rsid w:val="5E1831B8"/>
    <w:rsid w:val="5E2733FB"/>
    <w:rsid w:val="5E6E102A"/>
    <w:rsid w:val="5E785A05"/>
    <w:rsid w:val="5E84084D"/>
    <w:rsid w:val="5EC155FD"/>
    <w:rsid w:val="5F0454EA"/>
    <w:rsid w:val="5F2D2C93"/>
    <w:rsid w:val="5F9D028B"/>
    <w:rsid w:val="5FAA4CEA"/>
    <w:rsid w:val="604F6C39"/>
    <w:rsid w:val="60F31CBA"/>
    <w:rsid w:val="616A343C"/>
    <w:rsid w:val="62083543"/>
    <w:rsid w:val="62255EA3"/>
    <w:rsid w:val="62EE2739"/>
    <w:rsid w:val="63416D0D"/>
    <w:rsid w:val="635822A8"/>
    <w:rsid w:val="639332E1"/>
    <w:rsid w:val="63965CE6"/>
    <w:rsid w:val="63BF5AFB"/>
    <w:rsid w:val="63F7386F"/>
    <w:rsid w:val="64915201"/>
    <w:rsid w:val="6571661B"/>
    <w:rsid w:val="65847385"/>
    <w:rsid w:val="65EE2A50"/>
    <w:rsid w:val="661804B4"/>
    <w:rsid w:val="66320049"/>
    <w:rsid w:val="668313EA"/>
    <w:rsid w:val="66BE2423"/>
    <w:rsid w:val="672A5D0A"/>
    <w:rsid w:val="67467F02"/>
    <w:rsid w:val="67582877"/>
    <w:rsid w:val="679B13BB"/>
    <w:rsid w:val="67AE06E9"/>
    <w:rsid w:val="67F105D6"/>
    <w:rsid w:val="681F15E7"/>
    <w:rsid w:val="68BB366A"/>
    <w:rsid w:val="69117181"/>
    <w:rsid w:val="698431BF"/>
    <w:rsid w:val="69DB32EB"/>
    <w:rsid w:val="6A3273AF"/>
    <w:rsid w:val="6A55309E"/>
    <w:rsid w:val="6AA656A7"/>
    <w:rsid w:val="6AE2489E"/>
    <w:rsid w:val="6AEB3A02"/>
    <w:rsid w:val="6B73719A"/>
    <w:rsid w:val="6B7C019F"/>
    <w:rsid w:val="6BFA214F"/>
    <w:rsid w:val="6C0B610A"/>
    <w:rsid w:val="6C384A25"/>
    <w:rsid w:val="6C3867D3"/>
    <w:rsid w:val="6C5F6456"/>
    <w:rsid w:val="6C8E6D3B"/>
    <w:rsid w:val="6D7363E1"/>
    <w:rsid w:val="6D7C0AE9"/>
    <w:rsid w:val="6DC5053A"/>
    <w:rsid w:val="6E361438"/>
    <w:rsid w:val="6E867CCA"/>
    <w:rsid w:val="6ED24CBD"/>
    <w:rsid w:val="6F8D32DA"/>
    <w:rsid w:val="6F9311E9"/>
    <w:rsid w:val="6FFB46E7"/>
    <w:rsid w:val="702321E9"/>
    <w:rsid w:val="704F5004"/>
    <w:rsid w:val="70547B7B"/>
    <w:rsid w:val="706B361B"/>
    <w:rsid w:val="70F51137"/>
    <w:rsid w:val="710D46D2"/>
    <w:rsid w:val="71450480"/>
    <w:rsid w:val="72A42E14"/>
    <w:rsid w:val="72B312A9"/>
    <w:rsid w:val="72BA6194"/>
    <w:rsid w:val="72C47013"/>
    <w:rsid w:val="731955B0"/>
    <w:rsid w:val="734E78AD"/>
    <w:rsid w:val="7386076C"/>
    <w:rsid w:val="741D2E7E"/>
    <w:rsid w:val="742748CE"/>
    <w:rsid w:val="743B50B2"/>
    <w:rsid w:val="7456068D"/>
    <w:rsid w:val="74741BA3"/>
    <w:rsid w:val="74A94712"/>
    <w:rsid w:val="74B310ED"/>
    <w:rsid w:val="74E26C97"/>
    <w:rsid w:val="74E43401"/>
    <w:rsid w:val="751B4EE4"/>
    <w:rsid w:val="7524193F"/>
    <w:rsid w:val="754362C0"/>
    <w:rsid w:val="755521A4"/>
    <w:rsid w:val="75D457BF"/>
    <w:rsid w:val="76044D8D"/>
    <w:rsid w:val="761262E7"/>
    <w:rsid w:val="766C59F7"/>
    <w:rsid w:val="76851C10"/>
    <w:rsid w:val="76866449"/>
    <w:rsid w:val="76AD7EE3"/>
    <w:rsid w:val="76FB4FCD"/>
    <w:rsid w:val="777D3C34"/>
    <w:rsid w:val="77860D3A"/>
    <w:rsid w:val="77996CC0"/>
    <w:rsid w:val="77D53A70"/>
    <w:rsid w:val="77D55594"/>
    <w:rsid w:val="77F50340"/>
    <w:rsid w:val="77F50576"/>
    <w:rsid w:val="78491E3F"/>
    <w:rsid w:val="786A065C"/>
    <w:rsid w:val="78E57CE3"/>
    <w:rsid w:val="790C526F"/>
    <w:rsid w:val="792838E8"/>
    <w:rsid w:val="795D5ACB"/>
    <w:rsid w:val="79AE27CB"/>
    <w:rsid w:val="7A122727"/>
    <w:rsid w:val="7A3E4CEB"/>
    <w:rsid w:val="7A547DFA"/>
    <w:rsid w:val="7A5C07DE"/>
    <w:rsid w:val="7A6D61E2"/>
    <w:rsid w:val="7AA02113"/>
    <w:rsid w:val="7B3B1ADE"/>
    <w:rsid w:val="7B5F3D7C"/>
    <w:rsid w:val="7B7A6E08"/>
    <w:rsid w:val="7BDA598D"/>
    <w:rsid w:val="7C5F7DAC"/>
    <w:rsid w:val="7CED360A"/>
    <w:rsid w:val="7CEF56C5"/>
    <w:rsid w:val="7CF404F4"/>
    <w:rsid w:val="7D51486E"/>
    <w:rsid w:val="7DAE0FEB"/>
    <w:rsid w:val="7DAF266D"/>
    <w:rsid w:val="7DD02D0F"/>
    <w:rsid w:val="7DD722F0"/>
    <w:rsid w:val="7DF033B2"/>
    <w:rsid w:val="7E011B2E"/>
    <w:rsid w:val="7E1E7F1F"/>
    <w:rsid w:val="7E720CB7"/>
    <w:rsid w:val="7E7E6C0F"/>
    <w:rsid w:val="7EA61CC2"/>
    <w:rsid w:val="7F8139A1"/>
    <w:rsid w:val="7F9564CA"/>
    <w:rsid w:val="7FCC39AA"/>
    <w:rsid w:val="7FE02FB2"/>
    <w:rsid w:val="7FF32CE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0"/>
    <w:autoRedefine/>
    <w:qFormat/>
    <w:uiPriority w:val="0"/>
    <w:pPr>
      <w:keepNext/>
      <w:keepLines/>
      <w:autoSpaceDE w:val="0"/>
      <w:autoSpaceDN w:val="0"/>
      <w:adjustRightInd w:val="0"/>
      <w:spacing w:before="360" w:after="360"/>
      <w:jc w:val="center"/>
      <w:textAlignment w:val="baseline"/>
      <w:outlineLvl w:val="0"/>
    </w:pPr>
    <w:rPr>
      <w:b/>
      <w:bCs/>
      <w:kern w:val="44"/>
      <w:sz w:val="44"/>
      <w:szCs w:val="44"/>
    </w:rPr>
  </w:style>
  <w:style w:type="paragraph" w:styleId="3">
    <w:name w:val="heading 2"/>
    <w:basedOn w:val="1"/>
    <w:next w:val="1"/>
    <w:link w:val="51"/>
    <w:autoRedefine/>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5"/>
    <w:link w:val="36"/>
    <w:autoRedefine/>
    <w:semiHidden/>
    <w:unhideWhenUsed/>
    <w:qFormat/>
    <w:uiPriority w:val="0"/>
    <w:pPr>
      <w:keepNext/>
      <w:keepLines/>
      <w:spacing w:before="260" w:after="260" w:line="415"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customStyle="1" w:styleId="5">
    <w:name w:val="正文缩进1"/>
    <w:basedOn w:val="1"/>
    <w:link w:val="37"/>
    <w:autoRedefine/>
    <w:qFormat/>
    <w:uiPriority w:val="0"/>
    <w:pPr>
      <w:ind w:firstLine="420"/>
    </w:pPr>
    <w:rPr>
      <w:sz w:val="40"/>
    </w:rPr>
  </w:style>
  <w:style w:type="paragraph" w:styleId="6">
    <w:name w:val="annotation text"/>
    <w:basedOn w:val="1"/>
    <w:link w:val="32"/>
    <w:autoRedefine/>
    <w:qFormat/>
    <w:uiPriority w:val="0"/>
    <w:pPr>
      <w:jc w:val="left"/>
    </w:pPr>
    <w:rPr>
      <w:sz w:val="24"/>
      <w:szCs w:val="24"/>
    </w:rPr>
  </w:style>
  <w:style w:type="paragraph" w:styleId="7">
    <w:name w:val="Body Text"/>
    <w:basedOn w:val="1"/>
    <w:link w:val="29"/>
    <w:autoRedefine/>
    <w:qFormat/>
    <w:uiPriority w:val="0"/>
    <w:rPr>
      <w:rFonts w:ascii="Tahoma" w:hAnsi="Tahoma"/>
      <w:sz w:val="24"/>
    </w:rPr>
  </w:style>
  <w:style w:type="paragraph" w:styleId="8">
    <w:name w:val="toc 3"/>
    <w:basedOn w:val="1"/>
    <w:next w:val="1"/>
    <w:autoRedefine/>
    <w:qFormat/>
    <w:uiPriority w:val="0"/>
    <w:pPr>
      <w:tabs>
        <w:tab w:val="right" w:leader="dot" w:pos="8302"/>
      </w:tabs>
    </w:pPr>
    <w:rPr>
      <w:color w:val="000000"/>
      <w:sz w:val="28"/>
    </w:rPr>
  </w:style>
  <w:style w:type="paragraph" w:styleId="9">
    <w:name w:val="Balloon Text"/>
    <w:basedOn w:val="1"/>
    <w:link w:val="22"/>
    <w:autoRedefine/>
    <w:qFormat/>
    <w:uiPriority w:val="0"/>
    <w:rPr>
      <w:sz w:val="2"/>
    </w:rPr>
  </w:style>
  <w:style w:type="paragraph" w:styleId="10">
    <w:name w:val="footer"/>
    <w:basedOn w:val="1"/>
    <w:link w:val="31"/>
    <w:autoRedefine/>
    <w:qFormat/>
    <w:uiPriority w:val="0"/>
    <w:pPr>
      <w:tabs>
        <w:tab w:val="center" w:pos="4153"/>
        <w:tab w:val="right" w:pos="8306"/>
      </w:tabs>
      <w:snapToGrid w:val="0"/>
      <w:jc w:val="left"/>
    </w:pPr>
    <w:rPr>
      <w:sz w:val="18"/>
      <w:szCs w:val="18"/>
    </w:rPr>
  </w:style>
  <w:style w:type="paragraph" w:styleId="11">
    <w:name w:val="header"/>
    <w:basedOn w:val="1"/>
    <w:link w:val="30"/>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qFormat/>
    <w:uiPriority w:val="0"/>
  </w:style>
  <w:style w:type="paragraph" w:styleId="13">
    <w:name w:val="Normal (Web)"/>
    <w:basedOn w:val="1"/>
    <w:autoRedefine/>
    <w:qFormat/>
    <w:uiPriority w:val="0"/>
    <w:pPr>
      <w:spacing w:beforeAutospacing="1" w:afterAutospacing="1"/>
      <w:jc w:val="left"/>
    </w:pPr>
    <w:rPr>
      <w:kern w:val="0"/>
      <w:sz w:val="24"/>
    </w:rPr>
  </w:style>
  <w:style w:type="paragraph" w:styleId="14">
    <w:name w:val="annotation subject"/>
    <w:basedOn w:val="6"/>
    <w:next w:val="6"/>
    <w:link w:val="27"/>
    <w:autoRedefine/>
    <w:qFormat/>
    <w:uiPriority w:val="0"/>
    <w:rPr>
      <w:b/>
      <w:bCs/>
      <w:sz w:val="21"/>
      <w:szCs w:val="20"/>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autoRedefine/>
    <w:qFormat/>
    <w:uiPriority w:val="0"/>
    <w:rPr>
      <w:rFonts w:cs="Times New Roman"/>
      <w:color w:val="0000FF"/>
      <w:u w:val="single"/>
    </w:rPr>
  </w:style>
  <w:style w:type="character" w:styleId="19">
    <w:name w:val="annotation reference"/>
    <w:autoRedefine/>
    <w:semiHidden/>
    <w:unhideWhenUsed/>
    <w:qFormat/>
    <w:uiPriority w:val="99"/>
    <w:rPr>
      <w:sz w:val="21"/>
      <w:szCs w:val="21"/>
    </w:rPr>
  </w:style>
  <w:style w:type="character" w:customStyle="1" w:styleId="20">
    <w:name w:val="纯文本 Char"/>
    <w:link w:val="21"/>
    <w:autoRedefine/>
    <w:qFormat/>
    <w:uiPriority w:val="0"/>
    <w:rPr>
      <w:rFonts w:ascii="宋体" w:eastAsia="宋体" w:cs="Times New Roman"/>
      <w:kern w:val="2"/>
      <w:sz w:val="28"/>
    </w:rPr>
  </w:style>
  <w:style w:type="paragraph" w:customStyle="1" w:styleId="21">
    <w:name w:val="纯文本1"/>
    <w:basedOn w:val="1"/>
    <w:link w:val="20"/>
    <w:autoRedefine/>
    <w:qFormat/>
    <w:uiPriority w:val="0"/>
    <w:pPr>
      <w:spacing w:line="360" w:lineRule="auto"/>
      <w:ind w:firstLine="770"/>
    </w:pPr>
    <w:rPr>
      <w:rFonts w:ascii="宋体"/>
      <w:sz w:val="28"/>
    </w:rPr>
  </w:style>
  <w:style w:type="character" w:customStyle="1" w:styleId="22">
    <w:name w:val="批注框文本 字符"/>
    <w:link w:val="9"/>
    <w:autoRedefine/>
    <w:qFormat/>
    <w:uiPriority w:val="0"/>
    <w:rPr>
      <w:rFonts w:cs="Times New Roman"/>
      <w:sz w:val="2"/>
    </w:rPr>
  </w:style>
  <w:style w:type="character" w:customStyle="1" w:styleId="23">
    <w:name w:val="正文首行缩进 Char"/>
    <w:link w:val="24"/>
    <w:autoRedefine/>
    <w:qFormat/>
    <w:uiPriority w:val="0"/>
    <w:rPr>
      <w:rFonts w:ascii="Tahoma" w:hAnsi="Tahoma" w:cs="Times New Roman"/>
      <w:kern w:val="2"/>
      <w:sz w:val="24"/>
    </w:rPr>
  </w:style>
  <w:style w:type="paragraph" w:customStyle="1" w:styleId="24">
    <w:name w:val="正文首行缩进1"/>
    <w:basedOn w:val="7"/>
    <w:link w:val="23"/>
    <w:autoRedefine/>
    <w:qFormat/>
    <w:uiPriority w:val="0"/>
    <w:pPr>
      <w:spacing w:after="120"/>
      <w:ind w:firstLine="420" w:firstLineChars="100"/>
    </w:pPr>
  </w:style>
  <w:style w:type="character" w:customStyle="1" w:styleId="25">
    <w:name w:val="正文文本缩进 3 Char"/>
    <w:link w:val="26"/>
    <w:autoRedefine/>
    <w:qFormat/>
    <w:uiPriority w:val="0"/>
    <w:rPr>
      <w:rFonts w:cs="Times New Roman"/>
      <w:sz w:val="16"/>
      <w:szCs w:val="16"/>
    </w:rPr>
  </w:style>
  <w:style w:type="paragraph" w:customStyle="1" w:styleId="26">
    <w:name w:val="正文文本缩进 31"/>
    <w:basedOn w:val="1"/>
    <w:link w:val="25"/>
    <w:autoRedefine/>
    <w:qFormat/>
    <w:uiPriority w:val="0"/>
    <w:pPr>
      <w:ind w:firstLine="400"/>
    </w:pPr>
    <w:rPr>
      <w:sz w:val="16"/>
      <w:szCs w:val="16"/>
    </w:rPr>
  </w:style>
  <w:style w:type="character" w:customStyle="1" w:styleId="27">
    <w:name w:val="批注主题 字符"/>
    <w:link w:val="14"/>
    <w:autoRedefine/>
    <w:qFormat/>
    <w:uiPriority w:val="0"/>
    <w:rPr>
      <w:rFonts w:cs="Times New Roman"/>
      <w:b/>
      <w:bCs/>
      <w:kern w:val="2"/>
      <w:sz w:val="21"/>
      <w:szCs w:val="24"/>
    </w:rPr>
  </w:style>
  <w:style w:type="character" w:customStyle="1" w:styleId="28">
    <w:name w:val="批注引用1"/>
    <w:autoRedefine/>
    <w:qFormat/>
    <w:uiPriority w:val="0"/>
    <w:rPr>
      <w:rFonts w:cs="Times New Roman"/>
      <w:sz w:val="21"/>
      <w:szCs w:val="21"/>
    </w:rPr>
  </w:style>
  <w:style w:type="character" w:customStyle="1" w:styleId="29">
    <w:name w:val="正文文本 字符"/>
    <w:link w:val="7"/>
    <w:autoRedefine/>
    <w:qFormat/>
    <w:uiPriority w:val="0"/>
    <w:rPr>
      <w:rFonts w:ascii="Tahoma" w:hAnsi="Tahoma" w:cs="Times New Roman"/>
      <w:kern w:val="2"/>
      <w:sz w:val="24"/>
    </w:rPr>
  </w:style>
  <w:style w:type="character" w:customStyle="1" w:styleId="30">
    <w:name w:val="页眉 字符"/>
    <w:link w:val="11"/>
    <w:autoRedefine/>
    <w:qFormat/>
    <w:uiPriority w:val="99"/>
    <w:rPr>
      <w:rFonts w:cs="Times New Roman"/>
      <w:kern w:val="2"/>
      <w:sz w:val="18"/>
      <w:szCs w:val="18"/>
    </w:rPr>
  </w:style>
  <w:style w:type="character" w:customStyle="1" w:styleId="31">
    <w:name w:val="页脚 字符"/>
    <w:link w:val="10"/>
    <w:autoRedefine/>
    <w:qFormat/>
    <w:uiPriority w:val="99"/>
    <w:rPr>
      <w:rFonts w:cs="Times New Roman"/>
      <w:kern w:val="2"/>
      <w:sz w:val="18"/>
      <w:szCs w:val="18"/>
    </w:rPr>
  </w:style>
  <w:style w:type="character" w:customStyle="1" w:styleId="32">
    <w:name w:val="批注文字 字符"/>
    <w:link w:val="6"/>
    <w:autoRedefine/>
    <w:qFormat/>
    <w:uiPriority w:val="0"/>
    <w:rPr>
      <w:rFonts w:cs="Times New Roman"/>
      <w:kern w:val="2"/>
      <w:sz w:val="24"/>
      <w:szCs w:val="24"/>
    </w:rPr>
  </w:style>
  <w:style w:type="character" w:customStyle="1" w:styleId="33">
    <w:name w:val="页码1"/>
    <w:autoRedefine/>
    <w:qFormat/>
    <w:uiPriority w:val="0"/>
    <w:rPr>
      <w:rFonts w:cs="Times New Roman"/>
    </w:rPr>
  </w:style>
  <w:style w:type="character" w:customStyle="1" w:styleId="34">
    <w:name w:val="正文文本缩进 Char"/>
    <w:link w:val="35"/>
    <w:autoRedefine/>
    <w:qFormat/>
    <w:uiPriority w:val="0"/>
    <w:rPr>
      <w:rFonts w:cs="Times New Roman"/>
      <w:sz w:val="20"/>
      <w:szCs w:val="20"/>
    </w:rPr>
  </w:style>
  <w:style w:type="paragraph" w:customStyle="1" w:styleId="35">
    <w:name w:val="正文文本缩进1"/>
    <w:basedOn w:val="1"/>
    <w:link w:val="34"/>
    <w:autoRedefine/>
    <w:qFormat/>
    <w:uiPriority w:val="0"/>
    <w:pPr>
      <w:ind w:firstLine="600"/>
    </w:pPr>
    <w:rPr>
      <w:sz w:val="20"/>
    </w:rPr>
  </w:style>
  <w:style w:type="character" w:customStyle="1" w:styleId="36">
    <w:name w:val="标题 3 字符"/>
    <w:link w:val="4"/>
    <w:autoRedefine/>
    <w:qFormat/>
    <w:uiPriority w:val="0"/>
    <w:rPr>
      <w:rFonts w:cs="Times New Roman"/>
      <w:b/>
      <w:bCs/>
      <w:sz w:val="32"/>
      <w:szCs w:val="32"/>
    </w:rPr>
  </w:style>
  <w:style w:type="character" w:customStyle="1" w:styleId="37">
    <w:name w:val="正文缩进 Char"/>
    <w:link w:val="5"/>
    <w:autoRedefine/>
    <w:qFormat/>
    <w:uiPriority w:val="0"/>
    <w:rPr>
      <w:rFonts w:cs="Times New Roman"/>
      <w:kern w:val="2"/>
      <w:sz w:val="40"/>
    </w:rPr>
  </w:style>
  <w:style w:type="character" w:customStyle="1" w:styleId="38">
    <w:name w:val="批注主题 Char"/>
    <w:link w:val="39"/>
    <w:autoRedefine/>
    <w:qFormat/>
    <w:uiPriority w:val="0"/>
    <w:rPr>
      <w:rFonts w:cs="Times New Roman"/>
      <w:b/>
      <w:bCs/>
      <w:kern w:val="2"/>
      <w:sz w:val="24"/>
      <w:szCs w:val="24"/>
    </w:rPr>
  </w:style>
  <w:style w:type="paragraph" w:customStyle="1" w:styleId="39">
    <w:name w:val="批注主题1"/>
    <w:basedOn w:val="6"/>
    <w:next w:val="6"/>
    <w:link w:val="38"/>
    <w:autoRedefine/>
    <w:qFormat/>
    <w:uiPriority w:val="0"/>
    <w:rPr>
      <w:b/>
      <w:bCs/>
    </w:rPr>
  </w:style>
  <w:style w:type="character" w:customStyle="1" w:styleId="40">
    <w:name w:val="标题 1 字符"/>
    <w:link w:val="2"/>
    <w:autoRedefine/>
    <w:qFormat/>
    <w:uiPriority w:val="0"/>
    <w:rPr>
      <w:rFonts w:cs="Times New Roman"/>
      <w:b/>
      <w:bCs/>
      <w:kern w:val="44"/>
      <w:sz w:val="44"/>
      <w:szCs w:val="44"/>
    </w:rPr>
  </w:style>
  <w:style w:type="character" w:customStyle="1" w:styleId="41">
    <w:name w:val="正文文本缩进 2 Char"/>
    <w:link w:val="42"/>
    <w:autoRedefine/>
    <w:qFormat/>
    <w:uiPriority w:val="0"/>
    <w:rPr>
      <w:rFonts w:cs="Times New Roman"/>
      <w:kern w:val="2"/>
      <w:sz w:val="24"/>
      <w:szCs w:val="24"/>
    </w:rPr>
  </w:style>
  <w:style w:type="paragraph" w:customStyle="1" w:styleId="42">
    <w:name w:val="正文文本缩进 21"/>
    <w:basedOn w:val="1"/>
    <w:link w:val="41"/>
    <w:autoRedefine/>
    <w:qFormat/>
    <w:uiPriority w:val="0"/>
    <w:pPr>
      <w:spacing w:after="120" w:line="480" w:lineRule="auto"/>
      <w:ind w:left="420"/>
    </w:pPr>
    <w:rPr>
      <w:sz w:val="24"/>
      <w:szCs w:val="24"/>
    </w:rPr>
  </w:style>
  <w:style w:type="paragraph" w:customStyle="1" w:styleId="43">
    <w:name w:val="Default"/>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customStyle="1" w:styleId="44">
    <w:name w:val="Char Char Char Char"/>
    <w:basedOn w:val="1"/>
    <w:autoRedefine/>
    <w:qFormat/>
    <w:uiPriority w:val="0"/>
    <w:pPr>
      <w:tabs>
        <w:tab w:val="left" w:pos="360"/>
      </w:tabs>
    </w:pPr>
    <w:rPr>
      <w:sz w:val="24"/>
      <w:szCs w:val="24"/>
    </w:rPr>
  </w:style>
  <w:style w:type="paragraph" w:customStyle="1" w:styleId="45">
    <w:name w:val="Char1 Char Char Char Char"/>
    <w:basedOn w:val="1"/>
    <w:autoRedefine/>
    <w:qFormat/>
    <w:uiPriority w:val="0"/>
    <w:pPr>
      <w:widowControl/>
      <w:spacing w:after="160" w:line="240" w:lineRule="exact"/>
      <w:jc w:val="left"/>
    </w:pPr>
    <w:rPr>
      <w:rFonts w:ascii="Verdana" w:hAnsi="Verdana" w:cs="Verdana"/>
      <w:kern w:val="0"/>
      <w:sz w:val="20"/>
      <w:lang w:eastAsia="en-US"/>
    </w:rPr>
  </w:style>
  <w:style w:type="paragraph" w:customStyle="1" w:styleId="46">
    <w:name w:val="列出段落1"/>
    <w:basedOn w:val="1"/>
    <w:autoRedefine/>
    <w:qFormat/>
    <w:uiPriority w:val="0"/>
    <w:pPr>
      <w:ind w:firstLine="420" w:firstLineChars="200"/>
    </w:pPr>
  </w:style>
  <w:style w:type="paragraph" w:customStyle="1" w:styleId="47">
    <w:name w:val="普通(网站)1"/>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48">
    <w:name w:val="列表1"/>
    <w:basedOn w:val="1"/>
    <w:next w:val="1"/>
    <w:autoRedefine/>
    <w:qFormat/>
    <w:uiPriority w:val="0"/>
    <w:pPr>
      <w:numPr>
        <w:ilvl w:val="0"/>
        <w:numId w:val="1"/>
      </w:numPr>
      <w:spacing w:line="360" w:lineRule="auto"/>
    </w:pPr>
  </w:style>
  <w:style w:type="paragraph" w:customStyle="1" w:styleId="49">
    <w:name w:val="修订1"/>
    <w:autoRedefine/>
    <w:hidden/>
    <w:unhideWhenUsed/>
    <w:qFormat/>
    <w:uiPriority w:val="99"/>
    <w:rPr>
      <w:rFonts w:ascii="Times New Roman" w:hAnsi="Times New Roman" w:eastAsia="宋体" w:cs="Times New Roman"/>
      <w:kern w:val="2"/>
      <w:sz w:val="21"/>
      <w:lang w:val="en-US" w:eastAsia="zh-CN" w:bidi="ar-SA"/>
    </w:rPr>
  </w:style>
  <w:style w:type="table" w:customStyle="1" w:styleId="50">
    <w:name w:val="网格型1"/>
    <w:basedOn w:val="15"/>
    <w:autoRedefine/>
    <w:unhideWhenUsed/>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2 字符"/>
    <w:basedOn w:val="17"/>
    <w:link w:val="3"/>
    <w:autoRedefine/>
    <w:qFormat/>
    <w:uiPriority w:val="9"/>
    <w:rPr>
      <w:rFonts w:asciiTheme="majorHAnsi" w:hAnsiTheme="majorHAnsi" w:eastAsiaTheme="majorEastAsia" w:cstheme="majorBidi"/>
      <w:b/>
      <w:bCs/>
      <w:kern w:val="2"/>
      <w:sz w:val="32"/>
      <w:szCs w:val="32"/>
    </w:rPr>
  </w:style>
  <w:style w:type="character" w:customStyle="1" w:styleId="52">
    <w:name w:val="apple-converted-space"/>
    <w:basedOn w:val="17"/>
    <w:autoRedefine/>
    <w:qFormat/>
    <w:uiPriority w:val="0"/>
  </w:style>
  <w:style w:type="paragraph" w:styleId="53">
    <w:name w:val="List Paragraph"/>
    <w:basedOn w:val="1"/>
    <w:autoRedefine/>
    <w:qFormat/>
    <w:uiPriority w:val="99"/>
    <w:pPr>
      <w:ind w:firstLine="420" w:firstLineChars="200"/>
    </w:pPr>
    <w:rPr>
      <w:rFonts w:ascii="Calibri" w:hAnsi="Calibri"/>
      <w:szCs w:val="22"/>
    </w:rPr>
  </w:style>
  <w:style w:type="paragraph" w:customStyle="1" w:styleId="54">
    <w:name w:val="Table Paragraph"/>
    <w:basedOn w:val="1"/>
    <w:autoRedefine/>
    <w:qFormat/>
    <w:uiPriority w:val="1"/>
    <w:pPr>
      <w:spacing w:before="209"/>
    </w:pPr>
  </w:style>
  <w:style w:type="table" w:customStyle="1" w:styleId="55">
    <w:name w:val="Table Normal"/>
    <w:autoRedefine/>
    <w:semiHidden/>
    <w:unhideWhenUsed/>
    <w:qFormat/>
    <w:uiPriority w:val="2"/>
    <w:tblPr>
      <w:tblCellMar>
        <w:top w:w="0" w:type="dxa"/>
        <w:left w:w="0" w:type="dxa"/>
        <w:bottom w:w="0" w:type="dxa"/>
        <w:right w:w="0" w:type="dxa"/>
      </w:tblCellMar>
    </w:tblPr>
  </w:style>
  <w:style w:type="paragraph" w:customStyle="1" w:styleId="56">
    <w:name w:val="Revision"/>
    <w:autoRedefine/>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BB1F83-418B-456D-86E1-3F9E925531BE}">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8</Pages>
  <Words>6980</Words>
  <Characters>7055</Characters>
  <Lines>112</Lines>
  <Paragraphs>31</Paragraphs>
  <TotalTime>7</TotalTime>
  <ScaleCrop>false</ScaleCrop>
  <LinksUpToDate>false</LinksUpToDate>
  <CharactersWithSpaces>7146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2022-09-01T10:53:00Z</dcterms:created>
  <dc:creator>银河期货+殷然</dc:creator>
  <cp:lastModifiedBy>企业用户_444068791</cp:lastModifiedBy>
  <cp:lastPrinted>2017-10-25T04:32:00Z</cp:lastPrinted>
  <dcterms:modified xsi:type="dcterms:W3CDTF">2024-06-12T02:54:53Z</dcterms:modified>
  <dc:title>_x0001_</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4D69A9B5E34A4A44868F0870A287ABFB_13</vt:lpwstr>
  </property>
  <property fmtid="{D5CDD505-2E9C-101B-9397-08002B2CF9AE}" pid="4" name="CRO">
    <vt:lpwstr>wqlLaW5nc29mdCBQREYgdG8gV1BTIDgw</vt:lpwstr>
  </property>
  <property fmtid="{D5CDD505-2E9C-101B-9397-08002B2CF9AE}" pid="5" name="Created">
    <vt:filetime>2022-11-10T17:46:02Z</vt:filetime>
  </property>
</Properties>
</file>