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105" w:leftChars="50" w:right="105" w:rightChars="50" w:firstLine="361" w:firstLineChars="200"/>
        <w:jc w:val="center"/>
        <w:rPr>
          <w:rFonts w:ascii="楷体" w:hAnsi="楷体" w:eastAsia="楷体" w:cs="楷体"/>
          <w:b/>
          <w:sz w:val="18"/>
          <w:szCs w:val="18"/>
          <w:highlight w:val="none"/>
        </w:rPr>
      </w:pPr>
      <w:r>
        <w:rPr>
          <w:rFonts w:hint="eastAsia" w:ascii="楷体" w:hAnsi="楷体" w:eastAsia="楷体" w:cs="楷体"/>
          <w:b/>
          <w:sz w:val="18"/>
          <w:szCs w:val="18"/>
          <w:highlight w:val="none"/>
        </w:rPr>
        <w:t xml:space="preserve">                                                                                                                                </w:t>
      </w:r>
    </w:p>
    <w:p>
      <w:pPr>
        <w:spacing w:before="312" w:beforeLines="100" w:after="312" w:afterLines="100"/>
        <w:jc w:val="center"/>
        <w:rPr>
          <w:rFonts w:ascii="楷体" w:hAnsi="楷体" w:eastAsia="楷体" w:cs="楷体"/>
          <w:b/>
          <w:bCs/>
          <w:sz w:val="36"/>
          <w:szCs w:val="36"/>
          <w:highlight w:val="none"/>
        </w:rPr>
      </w:pPr>
    </w:p>
    <w:p>
      <w:pPr>
        <w:spacing w:before="312" w:beforeLines="100" w:after="312" w:afterLines="100" w:line="360" w:lineRule="auto"/>
        <w:jc w:val="center"/>
        <w:rPr>
          <w:rFonts w:ascii="楷体" w:hAnsi="楷体" w:eastAsia="楷体" w:cs="楷体"/>
          <w:b/>
          <w:bCs/>
          <w:sz w:val="36"/>
          <w:szCs w:val="36"/>
          <w:highlight w:val="none"/>
        </w:rPr>
      </w:pPr>
      <w:r>
        <w:rPr>
          <w:rFonts w:hint="eastAsia" w:ascii="楷体" w:hAnsi="楷体" w:eastAsia="楷体" w:cs="楷体"/>
          <w:b/>
          <w:bCs/>
          <w:sz w:val="36"/>
          <w:szCs w:val="36"/>
          <w:highlight w:val="none"/>
        </w:rPr>
        <w:t>基金销售账户开户须知</w:t>
      </w:r>
    </w:p>
    <w:p>
      <w:pPr>
        <w:ind w:left="105" w:leftChars="50" w:right="105" w:rightChars="50"/>
        <w:jc w:val="center"/>
        <w:rPr>
          <w:rFonts w:ascii="楷体" w:hAnsi="楷体" w:eastAsia="楷体" w:cs="楷体"/>
          <w:b/>
          <w:bCs/>
          <w:sz w:val="32"/>
          <w:szCs w:val="32"/>
          <w:highlight w:val="none"/>
        </w:rPr>
      </w:pPr>
    </w:p>
    <w:p>
      <w:pPr>
        <w:widowControl/>
        <w:shd w:val="clear" w:color="auto" w:fill="FFFFFF"/>
        <w:jc w:val="center"/>
        <w:rPr>
          <w:rFonts w:ascii="楷体" w:hAnsi="楷体" w:eastAsia="楷体" w:cs="楷体"/>
          <w:b/>
          <w:kern w:val="0"/>
          <w:sz w:val="30"/>
          <w:szCs w:val="30"/>
          <w:highlight w:val="none"/>
        </w:rPr>
      </w:pPr>
      <w:r>
        <w:rPr>
          <w:rFonts w:hint="eastAsia" w:ascii="楷体" w:hAnsi="楷体" w:eastAsia="楷体" w:cs="楷体"/>
          <w:b/>
          <w:kern w:val="0"/>
          <w:sz w:val="30"/>
          <w:szCs w:val="30"/>
          <w:highlight w:val="none"/>
        </w:rPr>
        <w:t>目录</w:t>
      </w:r>
    </w:p>
    <w:p>
      <w:pPr>
        <w:spacing w:line="720" w:lineRule="auto"/>
        <w:rPr>
          <w:rFonts w:ascii="楷体" w:hAnsi="楷体" w:eastAsia="楷体" w:cs="楷体"/>
          <w:sz w:val="24"/>
          <w:szCs w:val="24"/>
          <w:highlight w:val="none"/>
        </w:rPr>
      </w:pPr>
    </w:p>
    <w:p>
      <w:pPr>
        <w:spacing w:line="720" w:lineRule="auto"/>
        <w:ind w:firstLine="1200" w:firstLineChars="500"/>
        <w:rPr>
          <w:rFonts w:ascii="楷体" w:hAnsi="楷体" w:eastAsia="楷体" w:cs="楷体"/>
          <w:sz w:val="24"/>
          <w:szCs w:val="24"/>
          <w:highlight w:val="none"/>
        </w:rPr>
      </w:pPr>
      <w:r>
        <w:rPr>
          <w:rFonts w:hint="eastAsia" w:ascii="楷体" w:hAnsi="楷体" w:eastAsia="楷体" w:cs="楷体"/>
          <w:sz w:val="24"/>
          <w:szCs w:val="24"/>
          <w:highlight w:val="none"/>
        </w:rPr>
        <w:t>证券投资基金投资人权益须知------ ----------------------------------2</w:t>
      </w:r>
    </w:p>
    <w:p>
      <w:pPr>
        <w:spacing w:line="720" w:lineRule="auto"/>
        <w:ind w:firstLine="1200" w:firstLineChars="500"/>
        <w:rPr>
          <w:rFonts w:hint="eastAsia" w:ascii="楷体" w:hAnsi="楷体" w:eastAsia="楷体" w:cs="楷体"/>
          <w:sz w:val="24"/>
          <w:szCs w:val="24"/>
          <w:highlight w:val="none"/>
          <w:lang w:eastAsia="zh-CN"/>
        </w:rPr>
      </w:pPr>
      <w:r>
        <w:rPr>
          <w:rFonts w:hint="eastAsia" w:ascii="楷体" w:hAnsi="楷体" w:eastAsia="楷体" w:cs="楷体"/>
          <w:sz w:val="24"/>
          <w:szCs w:val="24"/>
          <w:highlight w:val="none"/>
        </w:rPr>
        <w:t xml:space="preserve">基金风险揭示及售前告知书------------------------------------------ </w:t>
      </w:r>
      <w:r>
        <w:rPr>
          <w:rFonts w:hint="eastAsia" w:ascii="楷体" w:hAnsi="楷体" w:eastAsia="楷体" w:cs="楷体"/>
          <w:sz w:val="24"/>
          <w:szCs w:val="24"/>
          <w:highlight w:val="none"/>
          <w:lang w:val="en-US" w:eastAsia="zh-CN"/>
        </w:rPr>
        <w:t>9</w:t>
      </w:r>
    </w:p>
    <w:p>
      <w:pPr>
        <w:spacing w:line="720" w:lineRule="auto"/>
        <w:ind w:right="105" w:rightChars="50" w:firstLine="1200" w:firstLineChars="500"/>
        <w:rPr>
          <w:rFonts w:hint="default" w:ascii="楷体" w:hAnsi="楷体" w:eastAsia="楷体" w:cs="楷体"/>
          <w:sz w:val="24"/>
          <w:szCs w:val="24"/>
          <w:highlight w:val="none"/>
          <w:lang w:val="en-US" w:eastAsia="zh-CN"/>
        </w:rPr>
      </w:pPr>
      <w:r>
        <w:rPr>
          <w:rFonts w:hint="eastAsia" w:ascii="楷体" w:hAnsi="楷体" w:eastAsia="楷体" w:cs="楷体"/>
          <w:sz w:val="24"/>
          <w:szCs w:val="24"/>
          <w:highlight w:val="none"/>
        </w:rPr>
        <w:t xml:space="preserve">客户签署页-------------------------------------------------------- </w:t>
      </w:r>
      <w:r>
        <w:rPr>
          <w:rFonts w:hint="eastAsia" w:ascii="楷体" w:hAnsi="楷体" w:eastAsia="楷体" w:cs="楷体"/>
          <w:sz w:val="24"/>
          <w:szCs w:val="24"/>
          <w:highlight w:val="none"/>
          <w:lang w:val="en-US" w:eastAsia="zh-CN"/>
        </w:rPr>
        <w:t>12</w:t>
      </w:r>
    </w:p>
    <w:p>
      <w:pPr>
        <w:spacing w:line="480" w:lineRule="auto"/>
        <w:ind w:left="105" w:leftChars="50" w:right="105" w:rightChars="50" w:firstLine="360" w:firstLineChars="200"/>
        <w:rPr>
          <w:rFonts w:ascii="楷体" w:hAnsi="楷体" w:eastAsia="楷体" w:cs="楷体"/>
          <w:sz w:val="18"/>
          <w:szCs w:val="18"/>
          <w:highlight w:val="none"/>
        </w:rPr>
      </w:pPr>
    </w:p>
    <w:p>
      <w:pPr>
        <w:tabs>
          <w:tab w:val="left" w:pos="9015"/>
        </w:tabs>
        <w:ind w:left="105" w:leftChars="50" w:right="105" w:rightChars="50" w:firstLine="360" w:firstLineChars="200"/>
        <w:jc w:val="left"/>
        <w:rPr>
          <w:rFonts w:ascii="楷体" w:hAnsi="楷体" w:eastAsia="楷体" w:cs="楷体"/>
          <w:sz w:val="18"/>
          <w:szCs w:val="18"/>
          <w:highlight w:val="none"/>
        </w:rPr>
      </w:pPr>
      <w:r>
        <w:rPr>
          <w:rFonts w:hint="eastAsia" w:ascii="楷体" w:hAnsi="楷体" w:eastAsia="楷体" w:cs="楷体"/>
          <w:sz w:val="18"/>
          <w:szCs w:val="18"/>
          <w:highlight w:val="none"/>
        </w:rPr>
        <w:t xml:space="preserve">  </w:t>
      </w:r>
    </w:p>
    <w:p>
      <w:pPr>
        <w:widowControl/>
        <w:shd w:val="clear" w:color="auto" w:fill="FFFFFF"/>
        <w:ind w:right="105" w:rightChars="50" w:firstLine="361" w:firstLineChars="200"/>
        <w:rPr>
          <w:rFonts w:ascii="楷体" w:hAnsi="楷体" w:eastAsia="楷体" w:cs="楷体"/>
          <w:b/>
          <w:kern w:val="0"/>
          <w:sz w:val="18"/>
          <w:szCs w:val="18"/>
          <w:highlight w:val="none"/>
        </w:rPr>
      </w:pPr>
    </w:p>
    <w:p>
      <w:pPr>
        <w:widowControl/>
        <w:shd w:val="clear" w:color="auto" w:fill="FFFFFF"/>
        <w:ind w:right="105" w:rightChars="50" w:firstLine="361" w:firstLineChars="200"/>
        <w:rPr>
          <w:rFonts w:ascii="楷体" w:hAnsi="楷体" w:eastAsia="楷体" w:cs="楷体"/>
          <w:b/>
          <w:kern w:val="0"/>
          <w:sz w:val="18"/>
          <w:szCs w:val="18"/>
          <w:highlight w:val="none"/>
        </w:rPr>
      </w:pPr>
    </w:p>
    <w:p>
      <w:pPr>
        <w:widowControl/>
        <w:shd w:val="clear" w:color="auto" w:fill="FFFFFF"/>
        <w:ind w:right="105" w:rightChars="50" w:firstLine="361" w:firstLineChars="200"/>
        <w:rPr>
          <w:rFonts w:ascii="楷体" w:hAnsi="楷体" w:eastAsia="楷体" w:cs="楷体"/>
          <w:b/>
          <w:kern w:val="0"/>
          <w:sz w:val="18"/>
          <w:szCs w:val="18"/>
          <w:highlight w:val="none"/>
        </w:rPr>
      </w:pPr>
    </w:p>
    <w:p>
      <w:pPr>
        <w:widowControl/>
        <w:jc w:val="left"/>
        <w:rPr>
          <w:rFonts w:ascii="仿宋" w:hAnsi="仿宋" w:eastAsia="仿宋" w:cs="仿宋"/>
          <w:b/>
          <w:bCs/>
          <w:color w:val="000000"/>
          <w:kern w:val="0"/>
          <w:sz w:val="32"/>
          <w:szCs w:val="32"/>
          <w:highlight w:val="none"/>
          <w:lang w:bidi="ar"/>
        </w:rPr>
      </w:pPr>
      <w:r>
        <w:rPr>
          <w:rFonts w:ascii="仿宋" w:hAnsi="仿宋" w:eastAsia="仿宋" w:cs="仿宋"/>
          <w:b/>
          <w:bCs/>
          <w:color w:val="000000"/>
          <w:kern w:val="0"/>
          <w:sz w:val="32"/>
          <w:szCs w:val="32"/>
          <w:highlight w:val="none"/>
          <w:lang w:bidi="ar"/>
        </w:rPr>
        <w:br w:type="page"/>
      </w:r>
    </w:p>
    <w:p>
      <w:pPr>
        <w:widowControl/>
        <w:jc w:val="center"/>
        <w:outlineLvl w:val="0"/>
        <w:rPr>
          <w:rFonts w:ascii="黑体" w:hAnsi="黑体" w:eastAsia="黑体" w:cs="仿宋"/>
          <w:b/>
          <w:bCs/>
          <w:color w:val="000000"/>
          <w:kern w:val="0"/>
          <w:sz w:val="36"/>
          <w:szCs w:val="36"/>
          <w:highlight w:val="none"/>
          <w:lang w:bidi="ar"/>
        </w:rPr>
      </w:pPr>
    </w:p>
    <w:p>
      <w:pPr>
        <w:widowControl/>
        <w:jc w:val="center"/>
        <w:outlineLvl w:val="0"/>
        <w:rPr>
          <w:rFonts w:ascii="黑体" w:hAnsi="黑体" w:eastAsia="黑体"/>
          <w:sz w:val="36"/>
          <w:szCs w:val="36"/>
          <w:highlight w:val="none"/>
        </w:rPr>
      </w:pPr>
      <w:r>
        <w:rPr>
          <w:rFonts w:ascii="黑体" w:hAnsi="黑体" w:eastAsia="黑体" w:cs="仿宋"/>
          <w:b/>
          <w:bCs/>
          <w:color w:val="000000"/>
          <w:kern w:val="0"/>
          <w:sz w:val="36"/>
          <w:szCs w:val="36"/>
          <w:highlight w:val="none"/>
          <w:lang w:bidi="ar"/>
        </w:rPr>
        <w:t>银河期货有限公司</w:t>
      </w:r>
      <w:r>
        <w:rPr>
          <w:rFonts w:hint="eastAsia" w:ascii="黑体" w:hAnsi="黑体" w:eastAsia="黑体" w:cs="仿宋"/>
          <w:b/>
          <w:bCs/>
          <w:color w:val="000000"/>
          <w:kern w:val="0"/>
          <w:sz w:val="36"/>
          <w:szCs w:val="36"/>
          <w:highlight w:val="none"/>
          <w:lang w:bidi="ar"/>
        </w:rPr>
        <w:t>证券投资基金投资人权益须知</w:t>
      </w:r>
    </w:p>
    <w:p>
      <w:pPr>
        <w:widowControl/>
        <w:jc w:val="center"/>
        <w:outlineLvl w:val="0"/>
        <w:rPr>
          <w:rFonts w:ascii="黑体" w:hAnsi="黑体" w:eastAsia="黑体" w:cs="仿宋"/>
          <w:b/>
          <w:bCs/>
          <w:color w:val="000000"/>
          <w:kern w:val="0"/>
          <w:sz w:val="36"/>
          <w:szCs w:val="36"/>
          <w:highlight w:val="none"/>
          <w:lang w:bidi="ar"/>
        </w:rPr>
      </w:pPr>
    </w:p>
    <w:p>
      <w:pPr>
        <w:widowControl/>
        <w:shd w:val="clear" w:color="auto" w:fill="FFFFFF"/>
        <w:rPr>
          <w:rFonts w:ascii="楷体" w:hAnsi="楷体" w:eastAsia="楷体" w:cs="楷体"/>
          <w:b/>
          <w:sz w:val="24"/>
          <w:szCs w:val="18"/>
          <w:highlight w:val="none"/>
        </w:rPr>
      </w:pPr>
      <w:r>
        <w:rPr>
          <w:rFonts w:hint="eastAsia" w:ascii="楷体" w:hAnsi="楷体" w:eastAsia="楷体" w:cs="楷体"/>
          <w:b/>
          <w:sz w:val="24"/>
          <w:szCs w:val="18"/>
          <w:highlight w:val="none"/>
        </w:rPr>
        <w:t>尊敬的基金投资人：</w:t>
      </w:r>
    </w:p>
    <w:p>
      <w:pPr>
        <w:widowControl/>
        <w:ind w:firstLine="480" w:firstLineChars="200"/>
        <w:jc w:val="left"/>
        <w:rPr>
          <w:rFonts w:ascii="楷体" w:hAnsi="楷体" w:eastAsia="楷体" w:cs="楷体"/>
          <w:sz w:val="24"/>
          <w:szCs w:val="18"/>
          <w:highlight w:val="none"/>
        </w:rPr>
      </w:pPr>
    </w:p>
    <w:p>
      <w:pPr>
        <w:widowControl/>
        <w:ind w:firstLine="480" w:firstLineChars="200"/>
        <w:jc w:val="left"/>
        <w:rPr>
          <w:rFonts w:ascii="楷体" w:hAnsi="楷体" w:eastAsia="楷体" w:cs="楷体"/>
          <w:sz w:val="24"/>
          <w:szCs w:val="18"/>
          <w:highlight w:val="none"/>
        </w:rPr>
      </w:pPr>
      <w:r>
        <w:rPr>
          <w:rFonts w:hint="eastAsia" w:ascii="楷体" w:hAnsi="楷体" w:eastAsia="楷体" w:cs="楷体"/>
          <w:sz w:val="24"/>
          <w:szCs w:val="18"/>
          <w:highlight w:val="none"/>
        </w:rPr>
        <w:t>根据中国证监会的规定，现向您提供《银河期货有限公司证券投资基金投资人权益须知》。</w:t>
      </w:r>
      <w:r>
        <w:rPr>
          <w:rFonts w:hint="eastAsia" w:ascii="楷体" w:hAnsi="楷体" w:eastAsia="楷体" w:cs="楷体"/>
          <w:b/>
          <w:sz w:val="24"/>
          <w:szCs w:val="18"/>
          <w:highlight w:val="none"/>
        </w:rPr>
        <w:t>基金投资在获取收益的同时存在投资风险。为了保护您的合法权益，请在投资基金前认真阅读以下内容</w:t>
      </w:r>
      <w:r>
        <w:rPr>
          <w:rFonts w:hint="eastAsia" w:ascii="楷体" w:hAnsi="楷体" w:eastAsia="楷体" w:cs="楷体"/>
          <w:sz w:val="24"/>
          <w:szCs w:val="18"/>
          <w:highlight w:val="none"/>
        </w:rPr>
        <w:t>。</w:t>
      </w:r>
    </w:p>
    <w:p>
      <w:pPr>
        <w:widowControl/>
        <w:ind w:firstLine="482" w:firstLineChars="200"/>
        <w:outlineLvl w:val="1"/>
        <w:rPr>
          <w:rFonts w:ascii="楷体" w:hAnsi="楷体" w:eastAsia="楷体" w:cs="楷体"/>
          <w:b/>
          <w:sz w:val="24"/>
          <w:szCs w:val="18"/>
          <w:highlight w:val="none"/>
        </w:rPr>
      </w:pPr>
      <w:r>
        <w:rPr>
          <w:rFonts w:hint="eastAsia" w:ascii="楷体" w:hAnsi="楷体" w:eastAsia="楷体" w:cs="楷体"/>
          <w:b/>
          <w:sz w:val="24"/>
          <w:szCs w:val="18"/>
          <w:highlight w:val="none"/>
        </w:rPr>
        <w:t>一、基金的基本知识</w:t>
      </w:r>
    </w:p>
    <w:p>
      <w:pPr>
        <w:widowControl/>
        <w:ind w:firstLine="482" w:firstLineChars="200"/>
        <w:outlineLvl w:val="2"/>
        <w:rPr>
          <w:rFonts w:ascii="楷体" w:hAnsi="楷体" w:eastAsia="楷体" w:cs="楷体"/>
          <w:b/>
          <w:sz w:val="24"/>
          <w:szCs w:val="18"/>
          <w:highlight w:val="none"/>
        </w:rPr>
      </w:pPr>
      <w:r>
        <w:rPr>
          <w:rFonts w:hint="eastAsia" w:ascii="楷体" w:hAnsi="楷体" w:eastAsia="楷体" w:cs="楷体"/>
          <w:b/>
          <w:sz w:val="24"/>
          <w:szCs w:val="18"/>
          <w:highlight w:val="none"/>
        </w:rPr>
        <w:t>（一）什么是基金</w:t>
      </w:r>
    </w:p>
    <w:p>
      <w:pPr>
        <w:widowControl/>
        <w:ind w:firstLine="480" w:firstLineChars="200"/>
        <w:rPr>
          <w:rFonts w:ascii="楷体" w:hAnsi="楷体" w:eastAsia="楷体" w:cs="楷体"/>
          <w:sz w:val="24"/>
          <w:szCs w:val="18"/>
          <w:highlight w:val="none"/>
        </w:rPr>
      </w:pPr>
      <w:r>
        <w:rPr>
          <w:rFonts w:hint="eastAsia" w:ascii="楷体" w:hAnsi="楷体" w:eastAsia="楷体" w:cs="楷体"/>
          <w:sz w:val="24"/>
          <w:szCs w:val="18"/>
          <w:highlight w:val="none"/>
        </w:rPr>
        <w:t>证券投资基金（简称基金）是指通过发售基金份额，将众多投资人的资金集中起来，形成独立财产，由基金托管人托管，基金管理人管理，以投资组合的方法进行证券投资的一种利益共享、风险共担的集合投资方式。</w:t>
      </w:r>
    </w:p>
    <w:p>
      <w:pPr>
        <w:widowControl/>
        <w:ind w:firstLine="482" w:firstLineChars="200"/>
        <w:outlineLvl w:val="2"/>
        <w:rPr>
          <w:rFonts w:ascii="楷体" w:hAnsi="楷体" w:eastAsia="楷体" w:cs="楷体"/>
          <w:b/>
          <w:sz w:val="24"/>
          <w:szCs w:val="18"/>
          <w:highlight w:val="none"/>
        </w:rPr>
      </w:pPr>
      <w:r>
        <w:rPr>
          <w:rFonts w:hint="eastAsia" w:ascii="楷体" w:hAnsi="楷体" w:eastAsia="楷体" w:cs="楷体"/>
          <w:b/>
          <w:sz w:val="24"/>
          <w:szCs w:val="18"/>
          <w:highlight w:val="none"/>
        </w:rPr>
        <w:t>（二）基金与股票、债券、储蓄存款等其它金融工具的区别</w:t>
      </w:r>
    </w:p>
    <w:tbl>
      <w:tblPr>
        <w:tblStyle w:val="15"/>
        <w:tblW w:w="10393" w:type="dxa"/>
        <w:tblCellSpacing w:w="0"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348"/>
        <w:gridCol w:w="2905"/>
        <w:gridCol w:w="2160"/>
        <w:gridCol w:w="1992"/>
        <w:gridCol w:w="19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1348" w:type="dxa"/>
            <w:vAlign w:val="center"/>
          </w:tcPr>
          <w:p>
            <w:pPr>
              <w:widowControl/>
              <w:jc w:val="center"/>
              <w:rPr>
                <w:rFonts w:ascii="楷体" w:hAnsi="楷体" w:eastAsia="楷体" w:cs="楷体"/>
                <w:b/>
                <w:bCs/>
                <w:kern w:val="0"/>
                <w:sz w:val="24"/>
                <w:szCs w:val="18"/>
                <w:highlight w:val="none"/>
              </w:rPr>
            </w:pPr>
            <w:r>
              <w:rPr>
                <w:rFonts w:hint="eastAsia" w:ascii="楷体" w:hAnsi="楷体" w:eastAsia="楷体" w:cs="楷体"/>
                <w:b/>
                <w:bCs/>
                <w:kern w:val="0"/>
                <w:sz w:val="24"/>
                <w:szCs w:val="18"/>
                <w:highlight w:val="none"/>
              </w:rPr>
              <w:t>区别</w:t>
            </w:r>
          </w:p>
        </w:tc>
        <w:tc>
          <w:tcPr>
            <w:tcW w:w="2905" w:type="dxa"/>
            <w:vAlign w:val="center"/>
          </w:tcPr>
          <w:p>
            <w:pPr>
              <w:widowControl/>
              <w:jc w:val="center"/>
              <w:rPr>
                <w:rFonts w:ascii="楷体" w:hAnsi="楷体" w:eastAsia="楷体" w:cs="楷体"/>
                <w:b/>
                <w:bCs/>
                <w:kern w:val="0"/>
                <w:sz w:val="24"/>
                <w:szCs w:val="18"/>
                <w:highlight w:val="none"/>
              </w:rPr>
            </w:pPr>
            <w:r>
              <w:rPr>
                <w:rFonts w:hint="eastAsia" w:ascii="楷体" w:hAnsi="楷体" w:eastAsia="楷体" w:cs="楷体"/>
                <w:b/>
                <w:bCs/>
                <w:kern w:val="0"/>
                <w:sz w:val="24"/>
                <w:szCs w:val="18"/>
                <w:highlight w:val="none"/>
              </w:rPr>
              <w:t>基金</w:t>
            </w:r>
          </w:p>
        </w:tc>
        <w:tc>
          <w:tcPr>
            <w:tcW w:w="2160" w:type="dxa"/>
            <w:vAlign w:val="center"/>
          </w:tcPr>
          <w:p>
            <w:pPr>
              <w:widowControl/>
              <w:jc w:val="center"/>
              <w:rPr>
                <w:rFonts w:ascii="楷体" w:hAnsi="楷体" w:eastAsia="楷体" w:cs="楷体"/>
                <w:b/>
                <w:bCs/>
                <w:kern w:val="0"/>
                <w:sz w:val="24"/>
                <w:szCs w:val="18"/>
                <w:highlight w:val="none"/>
              </w:rPr>
            </w:pPr>
            <w:r>
              <w:rPr>
                <w:rFonts w:hint="eastAsia" w:ascii="楷体" w:hAnsi="楷体" w:eastAsia="楷体" w:cs="楷体"/>
                <w:b/>
                <w:bCs/>
                <w:kern w:val="0"/>
                <w:sz w:val="24"/>
                <w:szCs w:val="18"/>
                <w:highlight w:val="none"/>
              </w:rPr>
              <w:t>股票</w:t>
            </w:r>
          </w:p>
        </w:tc>
        <w:tc>
          <w:tcPr>
            <w:tcW w:w="1992" w:type="dxa"/>
            <w:vAlign w:val="center"/>
          </w:tcPr>
          <w:p>
            <w:pPr>
              <w:widowControl/>
              <w:jc w:val="center"/>
              <w:rPr>
                <w:rFonts w:ascii="楷体" w:hAnsi="楷体" w:eastAsia="楷体" w:cs="楷体"/>
                <w:b/>
                <w:bCs/>
                <w:kern w:val="0"/>
                <w:sz w:val="24"/>
                <w:szCs w:val="18"/>
                <w:highlight w:val="none"/>
              </w:rPr>
            </w:pPr>
            <w:r>
              <w:rPr>
                <w:rFonts w:hint="eastAsia" w:ascii="楷体" w:hAnsi="楷体" w:eastAsia="楷体" w:cs="楷体"/>
                <w:b/>
                <w:bCs/>
                <w:kern w:val="0"/>
                <w:sz w:val="24"/>
                <w:szCs w:val="18"/>
                <w:highlight w:val="none"/>
              </w:rPr>
              <w:t>债券</w:t>
            </w:r>
          </w:p>
        </w:tc>
        <w:tc>
          <w:tcPr>
            <w:tcW w:w="1988" w:type="dxa"/>
            <w:vAlign w:val="center"/>
          </w:tcPr>
          <w:p>
            <w:pPr>
              <w:widowControl/>
              <w:jc w:val="center"/>
              <w:rPr>
                <w:rFonts w:ascii="楷体" w:hAnsi="楷体" w:eastAsia="楷体" w:cs="楷体"/>
                <w:b/>
                <w:bCs/>
                <w:kern w:val="0"/>
                <w:sz w:val="24"/>
                <w:szCs w:val="18"/>
                <w:highlight w:val="none"/>
              </w:rPr>
            </w:pPr>
            <w:r>
              <w:rPr>
                <w:rFonts w:hint="eastAsia" w:ascii="楷体" w:hAnsi="楷体" w:eastAsia="楷体" w:cs="楷体"/>
                <w:b/>
                <w:bCs/>
                <w:kern w:val="0"/>
                <w:sz w:val="24"/>
                <w:szCs w:val="18"/>
                <w:highlight w:val="none"/>
              </w:rPr>
              <w:t>银行储蓄存款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1348" w:type="dxa"/>
            <w:vAlign w:val="center"/>
          </w:tcPr>
          <w:p>
            <w:pPr>
              <w:widowControl/>
              <w:jc w:val="left"/>
              <w:rPr>
                <w:rFonts w:ascii="楷体" w:hAnsi="楷体" w:eastAsia="楷体" w:cs="楷体"/>
                <w:kern w:val="0"/>
                <w:sz w:val="24"/>
                <w:szCs w:val="18"/>
                <w:highlight w:val="none"/>
              </w:rPr>
            </w:pPr>
            <w:r>
              <w:rPr>
                <w:rFonts w:hint="eastAsia" w:ascii="楷体" w:hAnsi="楷体" w:eastAsia="楷体" w:cs="楷体"/>
                <w:kern w:val="0"/>
                <w:sz w:val="24"/>
                <w:szCs w:val="18"/>
                <w:highlight w:val="none"/>
              </w:rPr>
              <w:t>反映的经济关系不同</w:t>
            </w:r>
          </w:p>
        </w:tc>
        <w:tc>
          <w:tcPr>
            <w:tcW w:w="2905" w:type="dxa"/>
            <w:vAlign w:val="center"/>
          </w:tcPr>
          <w:p>
            <w:pPr>
              <w:widowControl/>
              <w:jc w:val="left"/>
              <w:rPr>
                <w:rFonts w:ascii="楷体" w:hAnsi="楷体" w:eastAsia="楷体" w:cs="楷体"/>
                <w:kern w:val="0"/>
                <w:sz w:val="24"/>
                <w:szCs w:val="18"/>
                <w:highlight w:val="none"/>
              </w:rPr>
            </w:pPr>
            <w:r>
              <w:rPr>
                <w:rFonts w:hint="eastAsia" w:ascii="楷体" w:hAnsi="楷体" w:eastAsia="楷体" w:cs="楷体"/>
                <w:kern w:val="0"/>
                <w:sz w:val="24"/>
                <w:szCs w:val="18"/>
                <w:highlight w:val="none"/>
              </w:rPr>
              <w:t>信托关系，是一种受益凭证，投资者购买基金份额后成为基金受益人，基金管理人只是替投资者管理资金，并不承担投资损失风险。</w:t>
            </w:r>
          </w:p>
        </w:tc>
        <w:tc>
          <w:tcPr>
            <w:tcW w:w="2160" w:type="dxa"/>
            <w:vAlign w:val="center"/>
          </w:tcPr>
          <w:p>
            <w:pPr>
              <w:widowControl/>
              <w:jc w:val="left"/>
              <w:rPr>
                <w:rFonts w:ascii="楷体" w:hAnsi="楷体" w:eastAsia="楷体" w:cs="楷体"/>
                <w:kern w:val="0"/>
                <w:sz w:val="24"/>
                <w:szCs w:val="18"/>
                <w:highlight w:val="none"/>
              </w:rPr>
            </w:pPr>
            <w:r>
              <w:rPr>
                <w:rFonts w:hint="eastAsia" w:ascii="楷体" w:hAnsi="楷体" w:eastAsia="楷体" w:cs="楷体"/>
                <w:kern w:val="0"/>
                <w:sz w:val="24"/>
                <w:szCs w:val="18"/>
                <w:highlight w:val="none"/>
              </w:rPr>
              <w:t>所有权关系，是一种所有权凭证，投资人购买后成为公司股东。</w:t>
            </w:r>
          </w:p>
        </w:tc>
        <w:tc>
          <w:tcPr>
            <w:tcW w:w="1992" w:type="dxa"/>
            <w:vAlign w:val="center"/>
          </w:tcPr>
          <w:p>
            <w:pPr>
              <w:widowControl/>
              <w:jc w:val="left"/>
              <w:rPr>
                <w:rFonts w:ascii="楷体" w:hAnsi="楷体" w:eastAsia="楷体" w:cs="楷体"/>
                <w:kern w:val="0"/>
                <w:sz w:val="24"/>
                <w:szCs w:val="18"/>
                <w:highlight w:val="none"/>
              </w:rPr>
            </w:pPr>
            <w:r>
              <w:rPr>
                <w:rFonts w:hint="eastAsia" w:ascii="楷体" w:hAnsi="楷体" w:eastAsia="楷体" w:cs="楷体"/>
                <w:kern w:val="0"/>
                <w:sz w:val="24"/>
                <w:szCs w:val="18"/>
                <w:highlight w:val="none"/>
              </w:rPr>
              <w:t>债权债务关系，是一种债权凭证，投资人购买后成为该公司债权人。</w:t>
            </w:r>
          </w:p>
        </w:tc>
        <w:tc>
          <w:tcPr>
            <w:tcW w:w="1988" w:type="dxa"/>
            <w:vAlign w:val="center"/>
          </w:tcPr>
          <w:p>
            <w:pPr>
              <w:widowControl/>
              <w:jc w:val="left"/>
              <w:rPr>
                <w:rFonts w:ascii="楷体" w:hAnsi="楷体" w:eastAsia="楷体" w:cs="楷体"/>
                <w:kern w:val="0"/>
                <w:sz w:val="24"/>
                <w:szCs w:val="18"/>
                <w:highlight w:val="none"/>
              </w:rPr>
            </w:pPr>
            <w:r>
              <w:rPr>
                <w:rFonts w:hint="eastAsia" w:ascii="楷体" w:hAnsi="楷体" w:eastAsia="楷体" w:cs="楷体"/>
                <w:kern w:val="0"/>
                <w:sz w:val="24"/>
                <w:szCs w:val="18"/>
                <w:highlight w:val="none"/>
              </w:rPr>
              <w:t>表现为银行的负债，是一种信用凭证，银行对存款者负有法定的保本付息责任。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1348" w:type="dxa"/>
            <w:vAlign w:val="center"/>
          </w:tcPr>
          <w:p>
            <w:pPr>
              <w:widowControl/>
              <w:jc w:val="left"/>
              <w:rPr>
                <w:rFonts w:ascii="楷体" w:hAnsi="楷体" w:eastAsia="楷体" w:cs="楷体"/>
                <w:kern w:val="0"/>
                <w:sz w:val="24"/>
                <w:szCs w:val="18"/>
                <w:highlight w:val="none"/>
              </w:rPr>
            </w:pPr>
            <w:r>
              <w:rPr>
                <w:rFonts w:hint="eastAsia" w:ascii="楷体" w:hAnsi="楷体" w:eastAsia="楷体" w:cs="楷体"/>
                <w:kern w:val="0"/>
                <w:sz w:val="24"/>
                <w:szCs w:val="18"/>
                <w:highlight w:val="none"/>
              </w:rPr>
              <w:t>所筹资金的投向不同</w:t>
            </w:r>
          </w:p>
        </w:tc>
        <w:tc>
          <w:tcPr>
            <w:tcW w:w="2905" w:type="dxa"/>
            <w:vAlign w:val="center"/>
          </w:tcPr>
          <w:p>
            <w:pPr>
              <w:widowControl/>
              <w:jc w:val="left"/>
              <w:rPr>
                <w:rFonts w:ascii="楷体" w:hAnsi="楷体" w:eastAsia="楷体" w:cs="楷体"/>
                <w:kern w:val="0"/>
                <w:sz w:val="24"/>
                <w:szCs w:val="18"/>
                <w:highlight w:val="none"/>
              </w:rPr>
            </w:pPr>
            <w:r>
              <w:rPr>
                <w:rFonts w:hint="eastAsia" w:ascii="楷体" w:hAnsi="楷体" w:eastAsia="楷体" w:cs="楷体"/>
                <w:kern w:val="0"/>
                <w:sz w:val="24"/>
                <w:szCs w:val="18"/>
                <w:highlight w:val="none"/>
              </w:rPr>
              <w:t>间接投资工具，主要投向股票、债券等有价证券。</w:t>
            </w:r>
          </w:p>
        </w:tc>
        <w:tc>
          <w:tcPr>
            <w:tcW w:w="2160" w:type="dxa"/>
            <w:vAlign w:val="center"/>
          </w:tcPr>
          <w:p>
            <w:pPr>
              <w:widowControl/>
              <w:jc w:val="left"/>
              <w:rPr>
                <w:rFonts w:ascii="楷体" w:hAnsi="楷体" w:eastAsia="楷体" w:cs="楷体"/>
                <w:kern w:val="0"/>
                <w:sz w:val="24"/>
                <w:szCs w:val="18"/>
                <w:highlight w:val="none"/>
              </w:rPr>
            </w:pPr>
            <w:r>
              <w:rPr>
                <w:rFonts w:hint="eastAsia" w:ascii="楷体" w:hAnsi="楷体" w:eastAsia="楷体" w:cs="楷体"/>
                <w:kern w:val="0"/>
                <w:sz w:val="24"/>
                <w:szCs w:val="18"/>
                <w:highlight w:val="none"/>
              </w:rPr>
              <w:t>直接投资工具，主要投向实业领域。</w:t>
            </w:r>
          </w:p>
        </w:tc>
        <w:tc>
          <w:tcPr>
            <w:tcW w:w="1992" w:type="dxa"/>
            <w:vAlign w:val="center"/>
          </w:tcPr>
          <w:p>
            <w:pPr>
              <w:widowControl/>
              <w:jc w:val="left"/>
              <w:rPr>
                <w:rFonts w:ascii="楷体" w:hAnsi="楷体" w:eastAsia="楷体" w:cs="楷体"/>
                <w:kern w:val="0"/>
                <w:sz w:val="24"/>
                <w:szCs w:val="18"/>
                <w:highlight w:val="none"/>
              </w:rPr>
            </w:pPr>
            <w:r>
              <w:rPr>
                <w:rFonts w:hint="eastAsia" w:ascii="楷体" w:hAnsi="楷体" w:eastAsia="楷体" w:cs="楷体"/>
                <w:kern w:val="0"/>
                <w:sz w:val="24"/>
                <w:szCs w:val="18"/>
                <w:highlight w:val="none"/>
              </w:rPr>
              <w:t>直接投资工具，主要投向实业领域。</w:t>
            </w:r>
          </w:p>
        </w:tc>
        <w:tc>
          <w:tcPr>
            <w:tcW w:w="1988" w:type="dxa"/>
            <w:vAlign w:val="center"/>
          </w:tcPr>
          <w:p>
            <w:pPr>
              <w:widowControl/>
              <w:jc w:val="left"/>
              <w:rPr>
                <w:rFonts w:ascii="楷体" w:hAnsi="楷体" w:eastAsia="楷体" w:cs="楷体"/>
                <w:kern w:val="0"/>
                <w:sz w:val="24"/>
                <w:szCs w:val="18"/>
                <w:highlight w:val="none"/>
              </w:rPr>
            </w:pPr>
            <w:r>
              <w:rPr>
                <w:rFonts w:hint="eastAsia" w:ascii="楷体" w:hAnsi="楷体" w:eastAsia="楷体" w:cs="楷体"/>
                <w:kern w:val="0"/>
                <w:sz w:val="24"/>
                <w:szCs w:val="18"/>
                <w:highlight w:val="none"/>
              </w:rPr>
              <w:t>间接投资工具，银行负责资金用途和投向。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1348" w:type="dxa"/>
            <w:vAlign w:val="center"/>
          </w:tcPr>
          <w:p>
            <w:pPr>
              <w:widowControl/>
              <w:jc w:val="left"/>
              <w:rPr>
                <w:rFonts w:ascii="楷体" w:hAnsi="楷体" w:eastAsia="楷体" w:cs="楷体"/>
                <w:kern w:val="0"/>
                <w:sz w:val="24"/>
                <w:szCs w:val="18"/>
                <w:highlight w:val="none"/>
              </w:rPr>
            </w:pPr>
            <w:r>
              <w:rPr>
                <w:rFonts w:hint="eastAsia" w:ascii="楷体" w:hAnsi="楷体" w:eastAsia="楷体" w:cs="楷体"/>
                <w:kern w:val="0"/>
                <w:sz w:val="24"/>
                <w:szCs w:val="18"/>
                <w:highlight w:val="none"/>
              </w:rPr>
              <w:t>投资收益与风险大小不同</w:t>
            </w:r>
          </w:p>
        </w:tc>
        <w:tc>
          <w:tcPr>
            <w:tcW w:w="2905" w:type="dxa"/>
            <w:vAlign w:val="center"/>
          </w:tcPr>
          <w:p>
            <w:pPr>
              <w:widowControl/>
              <w:jc w:val="left"/>
              <w:rPr>
                <w:rFonts w:ascii="楷体" w:hAnsi="楷体" w:eastAsia="楷体" w:cs="楷体"/>
                <w:kern w:val="0"/>
                <w:sz w:val="24"/>
                <w:szCs w:val="18"/>
                <w:highlight w:val="none"/>
              </w:rPr>
            </w:pPr>
            <w:r>
              <w:rPr>
                <w:rFonts w:hint="eastAsia" w:ascii="楷体" w:hAnsi="楷体" w:eastAsia="楷体" w:cs="楷体"/>
                <w:kern w:val="0"/>
                <w:sz w:val="24"/>
                <w:szCs w:val="18"/>
                <w:highlight w:val="none"/>
              </w:rPr>
              <w:t>投资于众多有价证券，能有效分散风险，风险相对适中，收益相对稳健。</w:t>
            </w:r>
          </w:p>
        </w:tc>
        <w:tc>
          <w:tcPr>
            <w:tcW w:w="2160" w:type="dxa"/>
            <w:vAlign w:val="center"/>
          </w:tcPr>
          <w:p>
            <w:pPr>
              <w:widowControl/>
              <w:jc w:val="left"/>
              <w:rPr>
                <w:rFonts w:ascii="楷体" w:hAnsi="楷体" w:eastAsia="楷体" w:cs="楷体"/>
                <w:kern w:val="0"/>
                <w:sz w:val="24"/>
                <w:szCs w:val="18"/>
                <w:highlight w:val="none"/>
              </w:rPr>
            </w:pPr>
            <w:r>
              <w:rPr>
                <w:rFonts w:hint="eastAsia" w:ascii="楷体" w:hAnsi="楷体" w:eastAsia="楷体" w:cs="楷体"/>
                <w:kern w:val="0"/>
                <w:sz w:val="24"/>
                <w:szCs w:val="18"/>
                <w:highlight w:val="none"/>
              </w:rPr>
              <w:t>价格波动性大，高风险、高收益。</w:t>
            </w:r>
          </w:p>
        </w:tc>
        <w:tc>
          <w:tcPr>
            <w:tcW w:w="1992" w:type="dxa"/>
            <w:vAlign w:val="center"/>
          </w:tcPr>
          <w:p>
            <w:pPr>
              <w:widowControl/>
              <w:jc w:val="left"/>
              <w:rPr>
                <w:rFonts w:ascii="楷体" w:hAnsi="楷体" w:eastAsia="楷体" w:cs="楷体"/>
                <w:kern w:val="0"/>
                <w:sz w:val="24"/>
                <w:szCs w:val="18"/>
                <w:highlight w:val="none"/>
              </w:rPr>
            </w:pPr>
            <w:r>
              <w:rPr>
                <w:rFonts w:hint="eastAsia" w:ascii="楷体" w:hAnsi="楷体" w:eastAsia="楷体" w:cs="楷体"/>
                <w:kern w:val="0"/>
                <w:sz w:val="24"/>
                <w:szCs w:val="18"/>
                <w:highlight w:val="none"/>
              </w:rPr>
              <w:t>价格波动较股票小，低风险、低收益。</w:t>
            </w:r>
          </w:p>
        </w:tc>
        <w:tc>
          <w:tcPr>
            <w:tcW w:w="1988" w:type="dxa"/>
            <w:vAlign w:val="center"/>
          </w:tcPr>
          <w:p>
            <w:pPr>
              <w:widowControl/>
              <w:jc w:val="left"/>
              <w:rPr>
                <w:rFonts w:ascii="楷体" w:hAnsi="楷体" w:eastAsia="楷体" w:cs="楷体"/>
                <w:kern w:val="0"/>
                <w:sz w:val="24"/>
                <w:szCs w:val="18"/>
                <w:highlight w:val="none"/>
              </w:rPr>
            </w:pPr>
            <w:r>
              <w:rPr>
                <w:rFonts w:hint="eastAsia" w:ascii="楷体" w:hAnsi="楷体" w:eastAsia="楷体" w:cs="楷体"/>
                <w:kern w:val="0"/>
                <w:sz w:val="24"/>
                <w:szCs w:val="18"/>
                <w:highlight w:val="none"/>
              </w:rPr>
              <w:t>银行存款利率相对固定，损失本金的可能性很小，投资比较安全。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1348" w:type="dxa"/>
            <w:vAlign w:val="center"/>
          </w:tcPr>
          <w:p>
            <w:pPr>
              <w:widowControl/>
              <w:jc w:val="left"/>
              <w:rPr>
                <w:rFonts w:ascii="楷体" w:hAnsi="楷体" w:eastAsia="楷体" w:cs="楷体"/>
                <w:kern w:val="0"/>
                <w:sz w:val="24"/>
                <w:szCs w:val="18"/>
                <w:highlight w:val="none"/>
              </w:rPr>
            </w:pPr>
            <w:r>
              <w:rPr>
                <w:rFonts w:hint="eastAsia" w:ascii="楷体" w:hAnsi="楷体" w:eastAsia="楷体" w:cs="楷体"/>
                <w:kern w:val="0"/>
                <w:sz w:val="24"/>
                <w:szCs w:val="18"/>
                <w:highlight w:val="none"/>
              </w:rPr>
              <w:t>收益来源</w:t>
            </w:r>
          </w:p>
        </w:tc>
        <w:tc>
          <w:tcPr>
            <w:tcW w:w="2905" w:type="dxa"/>
            <w:vAlign w:val="center"/>
          </w:tcPr>
          <w:p>
            <w:pPr>
              <w:widowControl/>
              <w:jc w:val="left"/>
              <w:rPr>
                <w:rFonts w:ascii="楷体" w:hAnsi="楷体" w:eastAsia="楷体" w:cs="楷体"/>
                <w:kern w:val="0"/>
                <w:sz w:val="24"/>
                <w:szCs w:val="18"/>
                <w:highlight w:val="none"/>
              </w:rPr>
            </w:pPr>
            <w:r>
              <w:rPr>
                <w:rFonts w:hint="eastAsia" w:ascii="楷体" w:hAnsi="楷体" w:eastAsia="楷体" w:cs="楷体"/>
                <w:kern w:val="0"/>
                <w:sz w:val="24"/>
                <w:szCs w:val="18"/>
                <w:highlight w:val="none"/>
              </w:rPr>
              <w:t>利息收入、股利收入、资本利得。</w:t>
            </w:r>
          </w:p>
        </w:tc>
        <w:tc>
          <w:tcPr>
            <w:tcW w:w="2160" w:type="dxa"/>
            <w:vAlign w:val="center"/>
          </w:tcPr>
          <w:p>
            <w:pPr>
              <w:widowControl/>
              <w:jc w:val="left"/>
              <w:rPr>
                <w:rFonts w:ascii="楷体" w:hAnsi="楷体" w:eastAsia="楷体" w:cs="楷体"/>
                <w:kern w:val="0"/>
                <w:sz w:val="24"/>
                <w:szCs w:val="18"/>
                <w:highlight w:val="none"/>
              </w:rPr>
            </w:pPr>
            <w:r>
              <w:rPr>
                <w:rFonts w:hint="eastAsia" w:ascii="楷体" w:hAnsi="楷体" w:eastAsia="楷体" w:cs="楷体"/>
                <w:kern w:val="0"/>
                <w:sz w:val="24"/>
                <w:szCs w:val="18"/>
                <w:highlight w:val="none"/>
              </w:rPr>
              <w:t>股利收入、资本利得。</w:t>
            </w:r>
          </w:p>
        </w:tc>
        <w:tc>
          <w:tcPr>
            <w:tcW w:w="1992" w:type="dxa"/>
            <w:vAlign w:val="center"/>
          </w:tcPr>
          <w:p>
            <w:pPr>
              <w:widowControl/>
              <w:jc w:val="left"/>
              <w:rPr>
                <w:rFonts w:ascii="楷体" w:hAnsi="楷体" w:eastAsia="楷体" w:cs="楷体"/>
                <w:kern w:val="0"/>
                <w:sz w:val="24"/>
                <w:szCs w:val="18"/>
                <w:highlight w:val="none"/>
              </w:rPr>
            </w:pPr>
            <w:r>
              <w:rPr>
                <w:rFonts w:hint="eastAsia" w:ascii="楷体" w:hAnsi="楷体" w:eastAsia="楷体" w:cs="楷体"/>
                <w:kern w:val="0"/>
                <w:sz w:val="24"/>
                <w:szCs w:val="18"/>
                <w:highlight w:val="none"/>
              </w:rPr>
              <w:t>利息收入、资本利得。</w:t>
            </w:r>
          </w:p>
        </w:tc>
        <w:tc>
          <w:tcPr>
            <w:tcW w:w="1988" w:type="dxa"/>
            <w:vAlign w:val="center"/>
          </w:tcPr>
          <w:p>
            <w:pPr>
              <w:widowControl/>
              <w:jc w:val="left"/>
              <w:rPr>
                <w:rFonts w:ascii="楷体" w:hAnsi="楷体" w:eastAsia="楷体" w:cs="楷体"/>
                <w:kern w:val="0"/>
                <w:sz w:val="24"/>
                <w:szCs w:val="18"/>
                <w:highlight w:val="none"/>
              </w:rPr>
            </w:pPr>
            <w:r>
              <w:rPr>
                <w:rFonts w:hint="eastAsia" w:ascii="楷体" w:hAnsi="楷体" w:eastAsia="楷体" w:cs="楷体"/>
                <w:kern w:val="0"/>
                <w:sz w:val="24"/>
                <w:szCs w:val="18"/>
                <w:highlight w:val="none"/>
              </w:rPr>
              <w:t>利息收入。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1348" w:type="dxa"/>
            <w:vAlign w:val="center"/>
          </w:tcPr>
          <w:p>
            <w:pPr>
              <w:widowControl/>
              <w:jc w:val="left"/>
              <w:rPr>
                <w:rFonts w:ascii="楷体" w:hAnsi="楷体" w:eastAsia="楷体" w:cs="楷体"/>
                <w:kern w:val="0"/>
                <w:sz w:val="24"/>
                <w:szCs w:val="18"/>
                <w:highlight w:val="none"/>
              </w:rPr>
            </w:pPr>
            <w:r>
              <w:rPr>
                <w:rFonts w:hint="eastAsia" w:ascii="楷体" w:hAnsi="楷体" w:eastAsia="楷体" w:cs="楷体"/>
                <w:kern w:val="0"/>
                <w:sz w:val="24"/>
                <w:szCs w:val="18"/>
                <w:highlight w:val="none"/>
              </w:rPr>
              <w:t>投资渠道</w:t>
            </w:r>
          </w:p>
        </w:tc>
        <w:tc>
          <w:tcPr>
            <w:tcW w:w="2905" w:type="dxa"/>
            <w:vAlign w:val="center"/>
          </w:tcPr>
          <w:p>
            <w:pPr>
              <w:widowControl/>
              <w:jc w:val="left"/>
              <w:rPr>
                <w:rFonts w:ascii="楷体" w:hAnsi="楷体" w:eastAsia="楷体" w:cs="楷体"/>
                <w:kern w:val="0"/>
                <w:sz w:val="24"/>
                <w:szCs w:val="18"/>
                <w:highlight w:val="none"/>
              </w:rPr>
            </w:pPr>
            <w:r>
              <w:rPr>
                <w:rFonts w:hint="eastAsia" w:ascii="楷体" w:hAnsi="楷体" w:eastAsia="楷体" w:cs="楷体"/>
                <w:kern w:val="0"/>
                <w:sz w:val="24"/>
                <w:szCs w:val="18"/>
                <w:highlight w:val="none"/>
              </w:rPr>
              <w:t>基金管理公司及银行、证券公司等代销机构。</w:t>
            </w:r>
          </w:p>
        </w:tc>
        <w:tc>
          <w:tcPr>
            <w:tcW w:w="2160" w:type="dxa"/>
            <w:vAlign w:val="center"/>
          </w:tcPr>
          <w:p>
            <w:pPr>
              <w:widowControl/>
              <w:jc w:val="left"/>
              <w:rPr>
                <w:rFonts w:ascii="楷体" w:hAnsi="楷体" w:eastAsia="楷体" w:cs="楷体"/>
                <w:kern w:val="0"/>
                <w:sz w:val="24"/>
                <w:szCs w:val="18"/>
                <w:highlight w:val="none"/>
              </w:rPr>
            </w:pPr>
            <w:r>
              <w:rPr>
                <w:rFonts w:hint="eastAsia" w:ascii="楷体" w:hAnsi="楷体" w:eastAsia="楷体" w:cs="楷体"/>
                <w:kern w:val="0"/>
                <w:sz w:val="24"/>
                <w:szCs w:val="18"/>
                <w:highlight w:val="none"/>
              </w:rPr>
              <w:t>证券公司。</w:t>
            </w:r>
          </w:p>
        </w:tc>
        <w:tc>
          <w:tcPr>
            <w:tcW w:w="1992" w:type="dxa"/>
            <w:vAlign w:val="center"/>
          </w:tcPr>
          <w:p>
            <w:pPr>
              <w:widowControl/>
              <w:jc w:val="left"/>
              <w:rPr>
                <w:rFonts w:ascii="楷体" w:hAnsi="楷体" w:eastAsia="楷体" w:cs="楷体"/>
                <w:kern w:val="0"/>
                <w:sz w:val="24"/>
                <w:szCs w:val="18"/>
                <w:highlight w:val="none"/>
              </w:rPr>
            </w:pPr>
            <w:r>
              <w:rPr>
                <w:rFonts w:hint="eastAsia" w:ascii="楷体" w:hAnsi="楷体" w:eastAsia="楷体" w:cs="楷体"/>
                <w:kern w:val="0"/>
                <w:sz w:val="24"/>
                <w:szCs w:val="18"/>
                <w:highlight w:val="none"/>
              </w:rPr>
              <w:t>债券发行机构、证券公司及银行等代销机构。</w:t>
            </w:r>
          </w:p>
        </w:tc>
        <w:tc>
          <w:tcPr>
            <w:tcW w:w="1988" w:type="dxa"/>
            <w:vAlign w:val="center"/>
          </w:tcPr>
          <w:p>
            <w:pPr>
              <w:widowControl/>
              <w:jc w:val="left"/>
              <w:rPr>
                <w:rFonts w:ascii="楷体" w:hAnsi="楷体" w:eastAsia="楷体" w:cs="楷体"/>
                <w:kern w:val="0"/>
                <w:sz w:val="24"/>
                <w:szCs w:val="18"/>
                <w:highlight w:val="none"/>
              </w:rPr>
            </w:pPr>
            <w:r>
              <w:rPr>
                <w:rFonts w:hint="eastAsia" w:ascii="楷体" w:hAnsi="楷体" w:eastAsia="楷体" w:cs="楷体"/>
                <w:kern w:val="0"/>
                <w:sz w:val="24"/>
                <w:szCs w:val="18"/>
                <w:highlight w:val="none"/>
              </w:rPr>
              <w:t>银行、信用社、邮政储蓄银行。</w:t>
            </w:r>
          </w:p>
        </w:tc>
      </w:tr>
    </w:tbl>
    <w:p>
      <w:pPr>
        <w:widowControl/>
        <w:ind w:firstLine="482" w:firstLineChars="200"/>
        <w:outlineLvl w:val="2"/>
        <w:rPr>
          <w:rFonts w:ascii="楷体" w:hAnsi="楷体" w:eastAsia="楷体" w:cs="楷体"/>
          <w:b/>
          <w:sz w:val="24"/>
          <w:szCs w:val="18"/>
          <w:highlight w:val="none"/>
        </w:rPr>
      </w:pPr>
      <w:r>
        <w:rPr>
          <w:rFonts w:hint="eastAsia" w:ascii="楷体" w:hAnsi="楷体" w:eastAsia="楷体" w:cs="楷体"/>
          <w:b/>
          <w:sz w:val="24"/>
          <w:szCs w:val="18"/>
          <w:highlight w:val="none"/>
        </w:rPr>
        <w:t>（三）基金的分类</w:t>
      </w:r>
    </w:p>
    <w:p>
      <w:pPr>
        <w:widowControl/>
        <w:ind w:firstLine="482" w:firstLineChars="200"/>
        <w:jc w:val="left"/>
        <w:rPr>
          <w:rFonts w:ascii="楷体" w:hAnsi="楷体" w:eastAsia="楷体" w:cs="楷体"/>
          <w:b/>
          <w:bCs/>
          <w:kern w:val="0"/>
          <w:sz w:val="24"/>
          <w:szCs w:val="18"/>
          <w:highlight w:val="none"/>
        </w:rPr>
      </w:pPr>
      <w:r>
        <w:rPr>
          <w:rFonts w:ascii="楷体" w:hAnsi="楷体" w:eastAsia="楷体" w:cs="楷体"/>
          <w:b/>
          <w:bCs/>
          <w:kern w:val="0"/>
          <w:sz w:val="24"/>
          <w:szCs w:val="18"/>
          <w:highlight w:val="none"/>
        </w:rPr>
        <w:t>1、依据运作方式的不同，可分为封闭式基金</w:t>
      </w:r>
      <w:r>
        <w:rPr>
          <w:rFonts w:hint="eastAsia" w:ascii="楷体" w:hAnsi="楷体" w:eastAsia="楷体" w:cs="楷体"/>
          <w:b/>
          <w:bCs/>
          <w:kern w:val="0"/>
          <w:sz w:val="24"/>
          <w:szCs w:val="18"/>
          <w:highlight w:val="none"/>
        </w:rPr>
        <w:t>、开放式基金以及基金合同约定的其他特殊运作方式的基金</w:t>
      </w:r>
      <w:r>
        <w:rPr>
          <w:rFonts w:ascii="楷体" w:hAnsi="楷体" w:eastAsia="楷体" w:cs="楷体"/>
          <w:b/>
          <w:bCs/>
          <w:kern w:val="0"/>
          <w:sz w:val="24"/>
          <w:szCs w:val="18"/>
          <w:highlight w:val="none"/>
        </w:rPr>
        <w:t>。</w:t>
      </w:r>
    </w:p>
    <w:p>
      <w:pPr>
        <w:widowControl/>
        <w:ind w:firstLine="480" w:firstLineChars="200"/>
        <w:jc w:val="left"/>
        <w:rPr>
          <w:rFonts w:ascii="楷体" w:hAnsi="楷体" w:eastAsia="楷体" w:cs="楷体"/>
          <w:bCs/>
          <w:kern w:val="0"/>
          <w:sz w:val="24"/>
          <w:szCs w:val="18"/>
          <w:highlight w:val="none"/>
        </w:rPr>
      </w:pPr>
      <w:r>
        <w:rPr>
          <w:rFonts w:hint="eastAsia" w:ascii="楷体" w:hAnsi="楷体" w:eastAsia="楷体" w:cs="楷体"/>
          <w:bCs/>
          <w:kern w:val="0"/>
          <w:sz w:val="24"/>
          <w:szCs w:val="18"/>
          <w:highlight w:val="none"/>
        </w:rPr>
        <w:t>封闭式基金是指基金份额在基金合同期限内固定不变，基金份额可以在依法设立的证券交易所交易，但基金份额持有人不得申请赎回的一种基金运作方式。</w:t>
      </w:r>
    </w:p>
    <w:p>
      <w:pPr>
        <w:widowControl/>
        <w:ind w:firstLine="480" w:firstLineChars="200"/>
        <w:jc w:val="left"/>
        <w:rPr>
          <w:rFonts w:ascii="楷体" w:hAnsi="楷体" w:eastAsia="楷体" w:cs="楷体"/>
          <w:bCs/>
          <w:kern w:val="0"/>
          <w:sz w:val="24"/>
          <w:szCs w:val="18"/>
          <w:highlight w:val="none"/>
        </w:rPr>
      </w:pPr>
      <w:r>
        <w:rPr>
          <w:rFonts w:hint="eastAsia" w:ascii="楷体" w:hAnsi="楷体" w:eastAsia="楷体" w:cs="楷体"/>
          <w:bCs/>
          <w:kern w:val="0"/>
          <w:sz w:val="24"/>
          <w:szCs w:val="18"/>
          <w:highlight w:val="none"/>
        </w:rPr>
        <w:t>开放式基金是指基金份额不固定，基金份额可以在基金合同约定的时间和场所进行申购和赎回的一种基金运作方式。</w:t>
      </w:r>
    </w:p>
    <w:p>
      <w:pPr>
        <w:widowControl/>
        <w:ind w:firstLine="482" w:firstLineChars="200"/>
        <w:jc w:val="left"/>
        <w:rPr>
          <w:rFonts w:ascii="楷体" w:hAnsi="楷体" w:eastAsia="楷体" w:cs="楷体"/>
          <w:b/>
          <w:bCs/>
          <w:kern w:val="0"/>
          <w:sz w:val="24"/>
          <w:szCs w:val="18"/>
          <w:highlight w:val="none"/>
        </w:rPr>
      </w:pPr>
      <w:r>
        <w:rPr>
          <w:rFonts w:ascii="楷体" w:hAnsi="楷体" w:eastAsia="楷体" w:cs="楷体"/>
          <w:b/>
          <w:bCs/>
          <w:kern w:val="0"/>
          <w:sz w:val="24"/>
          <w:szCs w:val="18"/>
          <w:highlight w:val="none"/>
        </w:rPr>
        <w:t>2、</w:t>
      </w:r>
      <w:r>
        <w:rPr>
          <w:rFonts w:hint="eastAsia" w:ascii="楷体" w:hAnsi="楷体" w:eastAsia="楷体" w:cs="楷体"/>
          <w:b/>
          <w:sz w:val="24"/>
          <w:szCs w:val="18"/>
          <w:highlight w:val="none"/>
        </w:rPr>
        <w:t>根据募集方式的不同，可分为公募基金与私募基金</w:t>
      </w:r>
    </w:p>
    <w:p>
      <w:pPr>
        <w:pStyle w:val="6"/>
        <w:ind w:firstLine="480" w:firstLineChars="200"/>
        <w:rPr>
          <w:rFonts w:ascii="楷体" w:hAnsi="楷体" w:eastAsia="楷体" w:cs="楷体"/>
          <w:bCs/>
          <w:kern w:val="0"/>
          <w:szCs w:val="18"/>
          <w:highlight w:val="none"/>
        </w:rPr>
      </w:pPr>
      <w:r>
        <w:rPr>
          <w:rFonts w:hint="eastAsia" w:ascii="楷体" w:hAnsi="楷体" w:eastAsia="楷体" w:cs="楷体"/>
          <w:bCs/>
          <w:kern w:val="0"/>
          <w:szCs w:val="18"/>
          <w:highlight w:val="none"/>
        </w:rPr>
        <w:t>2.1公募基金分类</w:t>
      </w:r>
    </w:p>
    <w:p>
      <w:pPr>
        <w:widowControl/>
        <w:ind w:firstLine="480" w:firstLineChars="200"/>
        <w:jc w:val="left"/>
        <w:rPr>
          <w:rFonts w:ascii="楷体" w:hAnsi="楷体" w:eastAsia="楷体" w:cs="楷体"/>
          <w:bCs/>
          <w:kern w:val="0"/>
          <w:sz w:val="24"/>
          <w:szCs w:val="18"/>
          <w:highlight w:val="none"/>
        </w:rPr>
      </w:pPr>
      <w:r>
        <w:rPr>
          <w:rFonts w:hint="eastAsia" w:ascii="楷体" w:hAnsi="楷体" w:eastAsia="楷体" w:cs="楷体"/>
          <w:bCs/>
          <w:kern w:val="0"/>
          <w:sz w:val="24"/>
          <w:szCs w:val="18"/>
          <w:highlight w:val="none"/>
        </w:rPr>
        <w:t>2.1.1</w:t>
      </w:r>
      <w:r>
        <w:rPr>
          <w:rFonts w:ascii="楷体" w:hAnsi="楷体" w:eastAsia="楷体" w:cs="楷体"/>
          <w:bCs/>
          <w:kern w:val="0"/>
          <w:sz w:val="24"/>
          <w:szCs w:val="18"/>
          <w:highlight w:val="none"/>
        </w:rPr>
        <w:t xml:space="preserve"> </w:t>
      </w:r>
      <w:r>
        <w:rPr>
          <w:rFonts w:hint="eastAsia" w:ascii="楷体" w:hAnsi="楷体" w:eastAsia="楷体" w:cs="楷体"/>
          <w:b/>
          <w:bCs/>
          <w:kern w:val="0"/>
          <w:sz w:val="24"/>
          <w:szCs w:val="18"/>
          <w:highlight w:val="none"/>
        </w:rPr>
        <w:t>依据投资对象的不同，可分为股票基金、债券基金、货币市场基金、</w:t>
      </w:r>
      <w:r>
        <w:rPr>
          <w:rFonts w:ascii="楷体" w:hAnsi="楷体" w:eastAsia="楷体" w:cs="楷体"/>
          <w:b/>
          <w:bCs/>
          <w:kern w:val="0"/>
          <w:sz w:val="24"/>
          <w:szCs w:val="18"/>
          <w:highlight w:val="none"/>
        </w:rPr>
        <w:t>基金中基金、混合基金、中国证监会规定的其他基金类别</w:t>
      </w:r>
      <w:r>
        <w:rPr>
          <w:rFonts w:hint="eastAsia" w:ascii="楷体" w:hAnsi="楷体" w:eastAsia="楷体" w:cs="楷体"/>
          <w:bCs/>
          <w:kern w:val="0"/>
          <w:sz w:val="24"/>
          <w:szCs w:val="18"/>
          <w:highlight w:val="none"/>
        </w:rPr>
        <w:t>。</w:t>
      </w:r>
    </w:p>
    <w:p>
      <w:pPr>
        <w:pStyle w:val="6"/>
        <w:ind w:firstLine="480" w:firstLineChars="200"/>
        <w:rPr>
          <w:rFonts w:ascii="楷体" w:hAnsi="楷体" w:eastAsia="楷体" w:cs="楷体"/>
          <w:szCs w:val="18"/>
          <w:highlight w:val="none"/>
        </w:rPr>
      </w:pPr>
      <w:r>
        <w:rPr>
          <w:rFonts w:hint="eastAsia" w:ascii="楷体" w:hAnsi="楷体" w:eastAsia="楷体" w:cs="楷体"/>
          <w:bCs/>
          <w:kern w:val="0"/>
          <w:szCs w:val="18"/>
          <w:highlight w:val="none"/>
        </w:rPr>
        <w:t>根据《公开募集证券投资基金运作管理办法》对基金类别的分类标准,</w:t>
      </w:r>
      <w:r>
        <w:rPr>
          <w:rFonts w:ascii="楷体" w:hAnsi="楷体" w:eastAsia="楷体" w:cs="楷体"/>
          <w:bCs/>
          <w:kern w:val="0"/>
          <w:szCs w:val="18"/>
          <w:highlight w:val="none"/>
        </w:rPr>
        <w:t>8</w:t>
      </w:r>
      <w:r>
        <w:rPr>
          <w:rFonts w:hint="eastAsia" w:ascii="楷体" w:hAnsi="楷体" w:eastAsia="楷体" w:cs="楷体"/>
          <w:bCs/>
          <w:kern w:val="0"/>
          <w:szCs w:val="18"/>
          <w:highlight w:val="none"/>
        </w:rPr>
        <w:t>0%以上的基金资产投资于股票的为股票基金；80%以上的基金资产投资于债券的为债券基金；仅投资于货币市场工具的为货币市场基金；80%以上的基金资产投资于其他基金份额的，为基金中的基金；投资于股票、债券、货币市场工具或其他基金份额，但股票投资、债券投资、基金投资的比例不符合股票基金、债券基金、基金中基金规定的为混合基金。这些基金类别按收益和风险由高到低的排列顺序为：股票基金、混合基金、债券基金、货币市场基金，即股票基金的风险和收益最高，货币市场基金的风险和收益最低。基金中基金</w:t>
      </w:r>
      <w:r>
        <w:rPr>
          <w:rFonts w:hint="eastAsia" w:ascii="楷体" w:hAnsi="楷体" w:eastAsia="楷体" w:cs="楷体"/>
          <w:szCs w:val="18"/>
          <w:highlight w:val="none"/>
        </w:rPr>
        <w:t>的收益和风险取决于其具体投资的基金类型。</w:t>
      </w:r>
    </w:p>
    <w:p>
      <w:pPr>
        <w:widowControl/>
        <w:ind w:firstLine="480" w:firstLineChars="200"/>
        <w:rPr>
          <w:rFonts w:ascii="楷体" w:hAnsi="楷体" w:eastAsia="楷体" w:cs="楷体"/>
          <w:sz w:val="24"/>
          <w:szCs w:val="18"/>
          <w:highlight w:val="none"/>
        </w:rPr>
      </w:pPr>
      <w:r>
        <w:rPr>
          <w:rFonts w:hint="eastAsia" w:ascii="楷体" w:hAnsi="楷体" w:eastAsia="楷体" w:cs="楷体"/>
          <w:sz w:val="24"/>
          <w:szCs w:val="18"/>
          <w:highlight w:val="none"/>
        </w:rPr>
        <w:t xml:space="preserve">2.1.2 </w:t>
      </w:r>
      <w:r>
        <w:rPr>
          <w:rFonts w:hint="eastAsia" w:ascii="楷体" w:hAnsi="楷体" w:eastAsia="楷体" w:cs="楷体"/>
          <w:b/>
          <w:sz w:val="24"/>
          <w:szCs w:val="18"/>
          <w:highlight w:val="none"/>
        </w:rPr>
        <w:t>特殊类型基金</w:t>
      </w:r>
      <w:r>
        <w:rPr>
          <w:rFonts w:hint="eastAsia" w:ascii="楷体" w:hAnsi="楷体" w:eastAsia="楷体" w:cs="楷体"/>
          <w:sz w:val="24"/>
          <w:szCs w:val="18"/>
          <w:highlight w:val="none"/>
        </w:rPr>
        <w:t>。</w:t>
      </w:r>
    </w:p>
    <w:p>
      <w:pPr>
        <w:widowControl/>
        <w:ind w:firstLine="480" w:firstLineChars="200"/>
        <w:rPr>
          <w:rFonts w:ascii="楷体" w:hAnsi="楷体" w:eastAsia="楷体" w:cs="楷体"/>
          <w:sz w:val="24"/>
          <w:szCs w:val="18"/>
          <w:highlight w:val="none"/>
        </w:rPr>
      </w:pPr>
      <w:r>
        <w:rPr>
          <w:rFonts w:hint="eastAsia" w:ascii="楷体" w:hAnsi="楷体" w:eastAsia="楷体" w:cs="楷体"/>
          <w:sz w:val="24"/>
          <w:szCs w:val="18"/>
          <w:highlight w:val="none"/>
        </w:rPr>
        <w:t>（1）</w:t>
      </w:r>
      <w:r>
        <w:rPr>
          <w:rFonts w:hint="eastAsia" w:ascii="楷体" w:hAnsi="楷体" w:eastAsia="楷体" w:cs="楷体"/>
          <w:b/>
          <w:sz w:val="24"/>
          <w:szCs w:val="18"/>
          <w:highlight w:val="none"/>
        </w:rPr>
        <w:t>系列基金</w:t>
      </w:r>
      <w:r>
        <w:rPr>
          <w:rFonts w:hint="eastAsia" w:ascii="楷体" w:hAnsi="楷体" w:eastAsia="楷体" w:cs="楷体"/>
          <w:sz w:val="24"/>
          <w:szCs w:val="18"/>
          <w:highlight w:val="none"/>
        </w:rPr>
        <w:t>。又被称为伞型基金，是指多个基金共用一个基金合同，子基金独立运作,子基金之间可以进行相互转换的一种基金结构形式。</w:t>
      </w:r>
    </w:p>
    <w:p>
      <w:pPr>
        <w:widowControl/>
        <w:ind w:firstLine="480" w:firstLineChars="200"/>
        <w:rPr>
          <w:rFonts w:ascii="楷体" w:hAnsi="楷体" w:eastAsia="楷体" w:cs="楷体"/>
          <w:sz w:val="24"/>
          <w:szCs w:val="18"/>
          <w:highlight w:val="none"/>
        </w:rPr>
      </w:pPr>
      <w:r>
        <w:rPr>
          <w:rFonts w:hint="eastAsia" w:ascii="楷体" w:hAnsi="楷体" w:eastAsia="楷体" w:cs="楷体"/>
          <w:sz w:val="24"/>
          <w:szCs w:val="18"/>
          <w:highlight w:val="none"/>
        </w:rPr>
        <w:t>（2）</w:t>
      </w:r>
      <w:r>
        <w:rPr>
          <w:rFonts w:hint="eastAsia" w:ascii="楷体" w:hAnsi="楷体" w:eastAsia="楷体" w:cs="楷体"/>
          <w:b/>
          <w:sz w:val="24"/>
          <w:szCs w:val="18"/>
          <w:highlight w:val="none"/>
        </w:rPr>
        <w:t>避险策略基金</w:t>
      </w:r>
      <w:r>
        <w:rPr>
          <w:rFonts w:hint="eastAsia" w:ascii="楷体" w:hAnsi="楷体" w:eastAsia="楷体" w:cs="楷体"/>
          <w:sz w:val="24"/>
          <w:szCs w:val="18"/>
          <w:highlight w:val="none"/>
        </w:rPr>
        <w:t>。是指通过一定的避险投资策略进行运作，同时引入相关保障机制，以在避险策略周期到期时，力求避免基金份额持有人投资本金出现亏损的公开募集证券投资基金。</w:t>
      </w:r>
    </w:p>
    <w:p>
      <w:pPr>
        <w:widowControl/>
        <w:ind w:firstLine="480" w:firstLineChars="200"/>
        <w:rPr>
          <w:rFonts w:ascii="楷体" w:hAnsi="楷体" w:eastAsia="楷体" w:cs="楷体"/>
          <w:sz w:val="24"/>
          <w:szCs w:val="18"/>
          <w:highlight w:val="none"/>
        </w:rPr>
      </w:pPr>
      <w:r>
        <w:rPr>
          <w:rFonts w:hint="eastAsia" w:ascii="楷体" w:hAnsi="楷体" w:eastAsia="楷体" w:cs="楷体"/>
          <w:sz w:val="24"/>
          <w:szCs w:val="18"/>
          <w:highlight w:val="none"/>
        </w:rPr>
        <w:t>（3）</w:t>
      </w:r>
      <w:r>
        <w:rPr>
          <w:rFonts w:hint="eastAsia" w:ascii="楷体" w:hAnsi="楷体" w:eastAsia="楷体" w:cs="楷体"/>
          <w:b/>
          <w:sz w:val="24"/>
          <w:szCs w:val="18"/>
          <w:highlight w:val="none"/>
        </w:rPr>
        <w:t>交易型开放式指数基金（ETF）与ETF联接基金</w:t>
      </w:r>
      <w:r>
        <w:rPr>
          <w:rFonts w:hint="eastAsia" w:ascii="楷体" w:hAnsi="楷体" w:eastAsia="楷体" w:cs="楷体"/>
          <w:sz w:val="24"/>
          <w:szCs w:val="18"/>
          <w:highlight w:val="none"/>
        </w:rPr>
        <w:t>。交易型开放式指数基金，通常又被称为交易所交易基金（Exchange Traded Funds，简称“ETF”），是指以某一选定的指数（标的指数）所包含的成份证券（股票、债券等）为投资对象，依据成份证券的种类和比例，采取完全复制或抽样复制，进行被动投资的指数基金，以实现对标的指数的紧密跟踪。ETF采取“份额申购、份额赎回”的原则，投资者根据基金公司每日公布的PCF清单（申购赎回清单）中指定的一篮子证券来申购，赎回时得到的也不是现金，而是相应的一篮子证券（部分ETF可以采用全部或部分现金替代模式进行申赎）。因此，ETF的运作机制和申赎规则比普通指数基金更复杂。此外，ETF的申购赎回有一定的门槛限制，投资者需按基金合同和基金招募说明书规定的最小申赎单位或者其整数倍进行申报（每只ETF的最小申赎单位不尽相同，具体可查阅相关基金的招募说明书），但ETF的场内交易没有上述门槛限制，开立证券账户后就可以像买卖股票一样进行ETF份额的买卖交易。为方便无法开立场内证券账户参与二级市场交易的投资者，就诞生了“ETF联接基金”，ETF联接基金是指将绝大部分（通常情况下不低于90%）基金财产投资于跟踪同一标的指数的ETF（即目标ETF），并采用开放式运作、以现金方式申购或赎回的基金。ETF联接基金与目标ETF的投资目标类似，紧密跟踪标的指数表现，追求跟踪偏离度和跟踪误差最小化。</w:t>
      </w:r>
    </w:p>
    <w:p>
      <w:pPr>
        <w:widowControl/>
        <w:ind w:firstLine="480" w:firstLineChars="200"/>
        <w:rPr>
          <w:rFonts w:ascii="楷体" w:hAnsi="楷体" w:eastAsia="楷体" w:cs="楷体"/>
          <w:sz w:val="24"/>
          <w:szCs w:val="18"/>
          <w:highlight w:val="none"/>
        </w:rPr>
      </w:pPr>
      <w:r>
        <w:rPr>
          <w:rFonts w:hint="eastAsia" w:ascii="楷体" w:hAnsi="楷体" w:eastAsia="楷体" w:cs="楷体"/>
          <w:sz w:val="24"/>
          <w:szCs w:val="18"/>
          <w:highlight w:val="none"/>
        </w:rPr>
        <w:t>（4）</w:t>
      </w:r>
      <w:r>
        <w:rPr>
          <w:rFonts w:hint="eastAsia" w:ascii="楷体" w:hAnsi="楷体" w:eastAsia="楷体" w:cs="楷体"/>
          <w:b/>
          <w:sz w:val="24"/>
          <w:szCs w:val="18"/>
          <w:highlight w:val="none"/>
        </w:rPr>
        <w:t>上市开放式基金</w:t>
      </w:r>
      <w:r>
        <w:rPr>
          <w:rFonts w:hint="eastAsia" w:ascii="楷体" w:hAnsi="楷体" w:eastAsia="楷体" w:cs="楷体"/>
          <w:sz w:val="24"/>
          <w:szCs w:val="18"/>
          <w:highlight w:val="none"/>
        </w:rPr>
        <w:t>（Listed Open-ended Funds,简称“LOF”）是一种既可以在场外市场进行基金份额申购赎回，又可以在交易所（场内市场）进行基金份额交易、申购或赎回的开放式基金。</w:t>
      </w:r>
    </w:p>
    <w:p>
      <w:pPr>
        <w:widowControl/>
        <w:ind w:firstLine="480" w:firstLineChars="200"/>
        <w:rPr>
          <w:rFonts w:ascii="楷体" w:hAnsi="楷体" w:eastAsia="楷体" w:cs="楷体"/>
          <w:sz w:val="24"/>
          <w:szCs w:val="18"/>
          <w:highlight w:val="none"/>
        </w:rPr>
      </w:pPr>
      <w:r>
        <w:rPr>
          <w:rFonts w:hint="eastAsia" w:ascii="楷体" w:hAnsi="楷体" w:eastAsia="楷体" w:cs="楷体"/>
          <w:sz w:val="24"/>
          <w:szCs w:val="18"/>
          <w:highlight w:val="none"/>
        </w:rPr>
        <w:t>（5）</w:t>
      </w:r>
      <w:r>
        <w:rPr>
          <w:rFonts w:hint="eastAsia" w:ascii="楷体" w:hAnsi="楷体" w:eastAsia="楷体" w:cs="楷体"/>
          <w:b/>
          <w:sz w:val="24"/>
          <w:szCs w:val="18"/>
          <w:highlight w:val="none"/>
        </w:rPr>
        <w:t>QDII基金</w:t>
      </w:r>
      <w:r>
        <w:rPr>
          <w:rFonts w:hint="eastAsia" w:ascii="楷体" w:hAnsi="楷体" w:eastAsia="楷体" w:cs="楷体"/>
          <w:sz w:val="24"/>
          <w:szCs w:val="18"/>
          <w:highlight w:val="none"/>
        </w:rPr>
        <w:t>。QDII是Qualified Domestic Institutional</w:t>
      </w:r>
      <w:r>
        <w:rPr>
          <w:rFonts w:ascii="楷体" w:hAnsi="楷体" w:eastAsia="楷体" w:cs="楷体"/>
          <w:sz w:val="24"/>
          <w:szCs w:val="18"/>
          <w:highlight w:val="none"/>
        </w:rPr>
        <w:t xml:space="preserve"> </w:t>
      </w:r>
      <w:r>
        <w:rPr>
          <w:rFonts w:hint="eastAsia" w:ascii="楷体" w:hAnsi="楷体" w:eastAsia="楷体" w:cs="楷体"/>
          <w:sz w:val="24"/>
          <w:szCs w:val="18"/>
          <w:highlight w:val="none"/>
        </w:rPr>
        <w:t>Investors的首字母缩写。QDII基金是指在我国境内募集资金，并运用所募集的部分或全部资金以资产组合方式从事境外证券市场的股票、债券等有价证券投资的基金。QDII基金为国内投资者参与国际市场投资提供了便利，但投资者也需承担境外市场相应投资风险。</w:t>
      </w:r>
    </w:p>
    <w:p>
      <w:pPr>
        <w:widowControl/>
        <w:ind w:firstLine="480" w:firstLineChars="200"/>
        <w:rPr>
          <w:rFonts w:ascii="楷体" w:hAnsi="楷体" w:eastAsia="楷体" w:cs="楷体"/>
          <w:sz w:val="24"/>
          <w:szCs w:val="18"/>
          <w:highlight w:val="none"/>
        </w:rPr>
      </w:pPr>
      <w:r>
        <w:rPr>
          <w:rFonts w:hint="eastAsia" w:ascii="楷体" w:hAnsi="楷体" w:eastAsia="楷体" w:cs="楷体"/>
          <w:sz w:val="24"/>
          <w:szCs w:val="18"/>
          <w:highlight w:val="none"/>
        </w:rPr>
        <w:t>（</w:t>
      </w:r>
      <w:r>
        <w:rPr>
          <w:rFonts w:ascii="楷体" w:hAnsi="楷体" w:eastAsia="楷体" w:cs="楷体"/>
          <w:sz w:val="24"/>
          <w:szCs w:val="18"/>
          <w:highlight w:val="none"/>
        </w:rPr>
        <w:t>6</w:t>
      </w:r>
      <w:r>
        <w:rPr>
          <w:rFonts w:hint="eastAsia" w:ascii="楷体" w:hAnsi="楷体" w:eastAsia="楷体" w:cs="楷体"/>
          <w:sz w:val="24"/>
          <w:szCs w:val="18"/>
          <w:highlight w:val="none"/>
        </w:rPr>
        <w:t>）</w:t>
      </w:r>
      <w:r>
        <w:rPr>
          <w:rFonts w:hint="eastAsia" w:ascii="楷体" w:hAnsi="楷体" w:eastAsia="楷体" w:cs="楷体"/>
          <w:b/>
          <w:sz w:val="24"/>
          <w:szCs w:val="18"/>
          <w:highlight w:val="none"/>
        </w:rPr>
        <w:t>基础设施基金（REITs）</w:t>
      </w:r>
      <w:r>
        <w:rPr>
          <w:rFonts w:hint="eastAsia" w:ascii="楷体" w:hAnsi="楷体" w:eastAsia="楷体" w:cs="楷体"/>
          <w:sz w:val="24"/>
          <w:szCs w:val="18"/>
          <w:highlight w:val="none"/>
        </w:rPr>
        <w:t>。基础设施基金是指同时符合下列特征的基金产品：①80％以上基金资产投资于基础设施资产支持证券，并持有其全部份额；基金通过基础设施资产支持证券持有基础设施项目公司全部股权；②基金通过资产支持证券和项目公司等载体取得基础设施项目完全所有权或经营权利；③基金管理人主动运营管理基础设施项目，以获取基础设施项目租金、收费等稳定现金流为主要目的；④采取封闭式运作，收益分配比例不低于合并后基金年度可供分配金额的90％。</w:t>
      </w:r>
    </w:p>
    <w:p>
      <w:pPr>
        <w:pStyle w:val="6"/>
        <w:ind w:firstLine="480" w:firstLineChars="200"/>
        <w:rPr>
          <w:rFonts w:ascii="楷体" w:hAnsi="楷体" w:eastAsia="楷体" w:cs="楷体"/>
          <w:szCs w:val="18"/>
          <w:highlight w:val="none"/>
        </w:rPr>
      </w:pPr>
      <w:r>
        <w:rPr>
          <w:rFonts w:hint="eastAsia" w:ascii="楷体" w:hAnsi="楷体" w:eastAsia="楷体" w:cs="楷体"/>
          <w:szCs w:val="18"/>
          <w:highlight w:val="none"/>
        </w:rPr>
        <w:t>2.2私募基金的分类</w:t>
      </w:r>
    </w:p>
    <w:p>
      <w:pPr>
        <w:pStyle w:val="13"/>
        <w:widowControl/>
        <w:spacing w:beforeAutospacing="0" w:afterAutospacing="0"/>
        <w:ind w:firstLine="480" w:firstLineChars="200"/>
        <w:rPr>
          <w:rFonts w:ascii="楷体" w:hAnsi="楷体" w:eastAsia="楷体" w:cs="楷体"/>
          <w:kern w:val="2"/>
          <w:szCs w:val="18"/>
          <w:highlight w:val="none"/>
        </w:rPr>
      </w:pPr>
      <w:r>
        <w:rPr>
          <w:rFonts w:hint="eastAsia" w:ascii="楷体" w:hAnsi="楷体" w:eastAsia="楷体" w:cs="楷体"/>
          <w:kern w:val="2"/>
          <w:szCs w:val="18"/>
          <w:highlight w:val="none"/>
        </w:rPr>
        <w:t>私募基金（全称私募投资基金），是指以非公开方式向投资者募集资金设立的投资基金。依据投资标的的种类，私募基金可分为四类：</w:t>
      </w:r>
    </w:p>
    <w:p>
      <w:pPr>
        <w:pStyle w:val="13"/>
        <w:widowControl/>
        <w:spacing w:beforeAutospacing="0" w:afterAutospacing="0"/>
        <w:ind w:firstLine="480" w:firstLineChars="200"/>
        <w:rPr>
          <w:rFonts w:ascii="楷体" w:hAnsi="楷体" w:eastAsia="楷体" w:cs="楷体"/>
          <w:kern w:val="2"/>
          <w:szCs w:val="18"/>
          <w:highlight w:val="none"/>
        </w:rPr>
      </w:pPr>
      <w:r>
        <w:rPr>
          <w:rFonts w:hint="eastAsia" w:ascii="楷体" w:hAnsi="楷体" w:eastAsia="楷体" w:cs="楷体"/>
          <w:kern w:val="2"/>
          <w:szCs w:val="18"/>
          <w:highlight w:val="none"/>
        </w:rPr>
        <w:t>（1）私募证券类基金，指通过非公开方式向投资者募集资金，由基金托管人托管，由基金管理人管理和运用资金，为基金份额持有人的利益，以资产组合方式进行证券投资的一种利益共享、风险共担的集合投资方式。</w:t>
      </w:r>
    </w:p>
    <w:p>
      <w:pPr>
        <w:pStyle w:val="13"/>
        <w:widowControl/>
        <w:spacing w:beforeAutospacing="0" w:afterAutospacing="0"/>
        <w:ind w:firstLine="480" w:firstLineChars="200"/>
        <w:rPr>
          <w:rFonts w:ascii="楷体" w:hAnsi="楷体" w:eastAsia="楷体" w:cs="楷体"/>
          <w:kern w:val="2"/>
          <w:szCs w:val="18"/>
          <w:highlight w:val="none"/>
        </w:rPr>
      </w:pPr>
      <w:r>
        <w:rPr>
          <w:rFonts w:hint="eastAsia" w:ascii="楷体" w:hAnsi="楷体" w:eastAsia="楷体" w:cs="楷体"/>
          <w:kern w:val="2"/>
          <w:szCs w:val="18"/>
          <w:highlight w:val="none"/>
        </w:rPr>
        <w:t>（2）私募股权类基金，指通过非公开方式向投资者募集资金，由基金管理人管理和运用资金，为投资者的利益，进行股权投资的基金，主要包括投资非上市公司股权或上市公司非公开交易股权两种。</w:t>
      </w:r>
    </w:p>
    <w:p>
      <w:pPr>
        <w:pStyle w:val="13"/>
        <w:widowControl/>
        <w:spacing w:beforeAutospacing="0" w:afterAutospacing="0"/>
        <w:ind w:firstLine="480" w:firstLineChars="200"/>
        <w:rPr>
          <w:rFonts w:ascii="楷体" w:hAnsi="楷体" w:eastAsia="楷体" w:cs="楷体"/>
          <w:kern w:val="2"/>
          <w:szCs w:val="18"/>
          <w:highlight w:val="none"/>
        </w:rPr>
      </w:pPr>
      <w:r>
        <w:rPr>
          <w:rFonts w:hint="eastAsia" w:ascii="楷体" w:hAnsi="楷体" w:eastAsia="楷体" w:cs="楷体"/>
          <w:kern w:val="2"/>
          <w:szCs w:val="18"/>
          <w:highlight w:val="none"/>
        </w:rPr>
        <w:t>（3）创业投资类基金，指向处于创建或重建过程中的未上市成长性创业企业进行股权投资，以期所投资创业企业发育成熟或相对成熟后.主要通过股权转让获取资本增值收益的投资方式。创业投资基金主要投资小微企业，这也是与私募股权基金的区别之一。</w:t>
      </w:r>
    </w:p>
    <w:p>
      <w:pPr>
        <w:pStyle w:val="13"/>
        <w:widowControl/>
        <w:spacing w:beforeAutospacing="0" w:afterAutospacing="0"/>
        <w:ind w:firstLine="480" w:firstLineChars="200"/>
        <w:rPr>
          <w:rFonts w:ascii="楷体" w:hAnsi="楷体" w:eastAsia="楷体" w:cs="楷体"/>
          <w:kern w:val="2"/>
          <w:szCs w:val="18"/>
          <w:highlight w:val="none"/>
        </w:rPr>
      </w:pPr>
      <w:r>
        <w:rPr>
          <w:rFonts w:hint="eastAsia" w:ascii="楷体" w:hAnsi="楷体" w:eastAsia="楷体" w:cs="楷体"/>
          <w:kern w:val="2"/>
          <w:szCs w:val="18"/>
          <w:highlight w:val="none"/>
        </w:rPr>
        <w:t>（4）其他类基金。指投资标的为不良资产、应收账款等产品的基金。</w:t>
      </w:r>
    </w:p>
    <w:p>
      <w:pPr>
        <w:widowControl/>
        <w:ind w:firstLine="482" w:firstLineChars="200"/>
        <w:outlineLvl w:val="2"/>
        <w:rPr>
          <w:rFonts w:ascii="楷体" w:hAnsi="楷体" w:eastAsia="楷体" w:cs="楷体"/>
          <w:b/>
          <w:sz w:val="24"/>
          <w:szCs w:val="18"/>
          <w:highlight w:val="none"/>
        </w:rPr>
      </w:pPr>
      <w:r>
        <w:rPr>
          <w:rFonts w:hint="eastAsia" w:ascii="楷体" w:hAnsi="楷体" w:eastAsia="楷体" w:cs="楷体"/>
          <w:b/>
          <w:sz w:val="24"/>
          <w:szCs w:val="18"/>
          <w:highlight w:val="none"/>
        </w:rPr>
        <w:t>（四）基金费用</w:t>
      </w:r>
    </w:p>
    <w:p>
      <w:pPr>
        <w:widowControl/>
        <w:ind w:firstLine="480" w:firstLineChars="200"/>
        <w:jc w:val="left"/>
        <w:rPr>
          <w:rFonts w:ascii="楷体" w:hAnsi="楷体" w:eastAsia="楷体" w:cs="楷体"/>
          <w:sz w:val="24"/>
          <w:szCs w:val="18"/>
          <w:highlight w:val="none"/>
        </w:rPr>
      </w:pPr>
      <w:r>
        <w:rPr>
          <w:rFonts w:hint="eastAsia" w:ascii="楷体" w:hAnsi="楷体" w:eastAsia="楷体" w:cs="楷体"/>
          <w:sz w:val="24"/>
          <w:szCs w:val="18"/>
          <w:highlight w:val="none"/>
        </w:rPr>
        <w:t>基金费用一般包括两大类：一类是在基金销售过程中发生的由基金投资人自己承担的费用，主要包括认购费、申购费、赎回费和基金转换费。这些费用一般直接在投资人认购、申购、赎回或转换时收取。其中认购费和申购费可在投资人购买基金时收取，即前端收费，其费率可以根据投资人认购金额、申购金额不同而不同；也可在投资人赎回基金份额时从赎回金额中收取，即后端收费，其费率一般按持有期限递减。另一类是在基金管理过程中发生的费用，主要包括基金管理费、基金托管费、信息披露费等，这些费用由基金资产承担。对于不收取申购、赎回费的货币市场基金和部分债券基金，还可按相关规定和基金合同约定从基金资产中计提一定的销售服务费，专门用于基金的销售和对基金持有人的服务。</w:t>
      </w:r>
    </w:p>
    <w:p>
      <w:pPr>
        <w:widowControl/>
        <w:ind w:firstLine="482" w:firstLineChars="200"/>
        <w:outlineLvl w:val="1"/>
        <w:rPr>
          <w:rFonts w:ascii="楷体" w:hAnsi="楷体" w:eastAsia="楷体" w:cs="楷体"/>
          <w:b/>
          <w:sz w:val="24"/>
          <w:szCs w:val="18"/>
          <w:highlight w:val="none"/>
        </w:rPr>
      </w:pPr>
      <w:r>
        <w:rPr>
          <w:rFonts w:hint="eastAsia" w:ascii="楷体" w:hAnsi="楷体" w:eastAsia="楷体" w:cs="楷体"/>
          <w:b/>
          <w:sz w:val="24"/>
          <w:szCs w:val="18"/>
          <w:highlight w:val="none"/>
        </w:rPr>
        <w:t>二、基金份额持有人的权利</w:t>
      </w:r>
    </w:p>
    <w:p>
      <w:pPr>
        <w:widowControl/>
        <w:ind w:firstLine="480" w:firstLineChars="200"/>
        <w:jc w:val="left"/>
        <w:rPr>
          <w:rFonts w:ascii="楷体" w:hAnsi="楷体" w:eastAsia="楷体" w:cs="楷体"/>
          <w:sz w:val="24"/>
          <w:szCs w:val="18"/>
          <w:highlight w:val="none"/>
        </w:rPr>
      </w:pPr>
      <w:r>
        <w:rPr>
          <w:rFonts w:hint="eastAsia" w:ascii="楷体" w:hAnsi="楷体" w:eastAsia="楷体" w:cs="楷体"/>
          <w:sz w:val="24"/>
          <w:szCs w:val="18"/>
          <w:highlight w:val="none"/>
        </w:rPr>
        <w:t>根据《证券投资基金法》第四十六条的规定，基金份额持有人享有如下权利：</w:t>
      </w:r>
    </w:p>
    <w:p>
      <w:pPr>
        <w:widowControl/>
        <w:ind w:firstLine="480" w:firstLineChars="200"/>
        <w:jc w:val="left"/>
        <w:rPr>
          <w:rFonts w:ascii="楷体" w:hAnsi="楷体" w:eastAsia="楷体" w:cs="楷体"/>
          <w:sz w:val="24"/>
          <w:szCs w:val="18"/>
          <w:highlight w:val="none"/>
        </w:rPr>
      </w:pPr>
      <w:r>
        <w:rPr>
          <w:rFonts w:hint="eastAsia" w:ascii="楷体" w:hAnsi="楷体" w:eastAsia="楷体" w:cs="楷体"/>
          <w:sz w:val="24"/>
          <w:szCs w:val="18"/>
          <w:highlight w:val="none"/>
        </w:rPr>
        <w:t>1、分享基金财产收益；</w:t>
      </w:r>
    </w:p>
    <w:p>
      <w:pPr>
        <w:widowControl/>
        <w:ind w:firstLine="480" w:firstLineChars="200"/>
        <w:jc w:val="left"/>
        <w:rPr>
          <w:rFonts w:ascii="楷体" w:hAnsi="楷体" w:eastAsia="楷体" w:cs="楷体"/>
          <w:sz w:val="24"/>
          <w:szCs w:val="18"/>
          <w:highlight w:val="none"/>
        </w:rPr>
      </w:pPr>
      <w:r>
        <w:rPr>
          <w:rFonts w:hint="eastAsia" w:ascii="楷体" w:hAnsi="楷体" w:eastAsia="楷体" w:cs="楷体"/>
          <w:sz w:val="24"/>
          <w:szCs w:val="18"/>
          <w:highlight w:val="none"/>
        </w:rPr>
        <w:t>2、参与分配清算后的剩余基金财产；</w:t>
      </w:r>
    </w:p>
    <w:p>
      <w:pPr>
        <w:widowControl/>
        <w:ind w:firstLine="480" w:firstLineChars="200"/>
        <w:jc w:val="left"/>
        <w:rPr>
          <w:rFonts w:ascii="楷体" w:hAnsi="楷体" w:eastAsia="楷体" w:cs="楷体"/>
          <w:sz w:val="24"/>
          <w:szCs w:val="18"/>
          <w:highlight w:val="none"/>
        </w:rPr>
      </w:pPr>
      <w:r>
        <w:rPr>
          <w:rFonts w:hint="eastAsia" w:ascii="楷体" w:hAnsi="楷体" w:eastAsia="楷体" w:cs="楷体"/>
          <w:sz w:val="24"/>
          <w:szCs w:val="18"/>
          <w:highlight w:val="none"/>
        </w:rPr>
        <w:t>3、依法转让或者申请赎回其持有的基金份额；</w:t>
      </w:r>
    </w:p>
    <w:p>
      <w:pPr>
        <w:widowControl/>
        <w:ind w:firstLine="480" w:firstLineChars="200"/>
        <w:jc w:val="left"/>
        <w:rPr>
          <w:rFonts w:ascii="楷体" w:hAnsi="楷体" w:eastAsia="楷体" w:cs="楷体"/>
          <w:sz w:val="24"/>
          <w:szCs w:val="18"/>
          <w:highlight w:val="none"/>
        </w:rPr>
      </w:pPr>
      <w:r>
        <w:rPr>
          <w:rFonts w:hint="eastAsia" w:ascii="楷体" w:hAnsi="楷体" w:eastAsia="楷体" w:cs="楷体"/>
          <w:sz w:val="24"/>
          <w:szCs w:val="18"/>
          <w:highlight w:val="none"/>
        </w:rPr>
        <w:t>4、按照规定要求召开基金份额持有人大会或者召集基金份额持有人大会；</w:t>
      </w:r>
    </w:p>
    <w:p>
      <w:pPr>
        <w:widowControl/>
        <w:ind w:firstLine="480" w:firstLineChars="200"/>
        <w:jc w:val="left"/>
        <w:rPr>
          <w:rFonts w:ascii="楷体" w:hAnsi="楷体" w:eastAsia="楷体" w:cs="楷体"/>
          <w:sz w:val="24"/>
          <w:szCs w:val="18"/>
          <w:highlight w:val="none"/>
        </w:rPr>
      </w:pPr>
      <w:r>
        <w:rPr>
          <w:rFonts w:hint="eastAsia" w:ascii="楷体" w:hAnsi="楷体" w:eastAsia="楷体" w:cs="楷体"/>
          <w:sz w:val="24"/>
          <w:szCs w:val="18"/>
          <w:highlight w:val="none"/>
        </w:rPr>
        <w:t>5、对基金份额持有人大会审议事项行使表决权；</w:t>
      </w:r>
    </w:p>
    <w:p>
      <w:pPr>
        <w:widowControl/>
        <w:ind w:firstLine="480" w:firstLineChars="200"/>
        <w:jc w:val="left"/>
        <w:rPr>
          <w:rFonts w:ascii="楷体" w:hAnsi="楷体" w:eastAsia="楷体" w:cs="楷体"/>
          <w:sz w:val="24"/>
          <w:szCs w:val="18"/>
          <w:highlight w:val="none"/>
        </w:rPr>
      </w:pPr>
      <w:r>
        <w:rPr>
          <w:rFonts w:hint="eastAsia" w:ascii="楷体" w:hAnsi="楷体" w:eastAsia="楷体" w:cs="楷体"/>
          <w:sz w:val="24"/>
          <w:szCs w:val="18"/>
          <w:highlight w:val="none"/>
        </w:rPr>
        <w:t>6、对基金管理人、基金托管人、基金服务机构损害其合法权益的行为依法提起诉讼；</w:t>
      </w:r>
    </w:p>
    <w:p>
      <w:pPr>
        <w:widowControl/>
        <w:ind w:firstLine="480" w:firstLineChars="200"/>
        <w:jc w:val="left"/>
        <w:rPr>
          <w:rFonts w:ascii="楷体" w:hAnsi="楷体" w:eastAsia="楷体" w:cs="楷体"/>
          <w:sz w:val="24"/>
          <w:szCs w:val="18"/>
          <w:highlight w:val="none"/>
        </w:rPr>
      </w:pPr>
      <w:r>
        <w:rPr>
          <w:rFonts w:hint="eastAsia" w:ascii="楷体" w:hAnsi="楷体" w:eastAsia="楷体" w:cs="楷体"/>
          <w:sz w:val="24"/>
          <w:szCs w:val="18"/>
          <w:highlight w:val="none"/>
        </w:rPr>
        <w:t>7、基金合同约定的其他权利。</w:t>
      </w:r>
    </w:p>
    <w:p>
      <w:pPr>
        <w:widowControl/>
        <w:ind w:firstLine="480" w:firstLineChars="200"/>
        <w:jc w:val="left"/>
        <w:rPr>
          <w:rFonts w:ascii="楷体" w:hAnsi="楷体" w:eastAsia="楷体" w:cs="楷体"/>
          <w:sz w:val="24"/>
          <w:szCs w:val="18"/>
          <w:highlight w:val="none"/>
        </w:rPr>
      </w:pPr>
      <w:r>
        <w:rPr>
          <w:rFonts w:hint="eastAsia" w:ascii="楷体" w:hAnsi="楷体" w:eastAsia="楷体" w:cs="楷体"/>
          <w:sz w:val="24"/>
          <w:szCs w:val="18"/>
          <w:highlight w:val="none"/>
        </w:rPr>
        <w:t>公开募集基金的基金份额持有人有权查阅或者复制公开披露的基金信息资料；非公开募集基金的基金份额持有人对涉及自身利益的情况，有权查阅基金的财务会计账簿等财务资料。</w:t>
      </w:r>
    </w:p>
    <w:p>
      <w:pPr>
        <w:widowControl/>
        <w:ind w:firstLine="482" w:firstLineChars="200"/>
        <w:outlineLvl w:val="1"/>
        <w:rPr>
          <w:rFonts w:ascii="楷体" w:hAnsi="楷体" w:eastAsia="楷体" w:cs="楷体"/>
          <w:b/>
          <w:sz w:val="24"/>
          <w:szCs w:val="18"/>
          <w:highlight w:val="none"/>
        </w:rPr>
      </w:pPr>
      <w:r>
        <w:rPr>
          <w:rFonts w:hint="eastAsia" w:ascii="楷体" w:hAnsi="楷体" w:eastAsia="楷体" w:cs="楷体"/>
          <w:b/>
          <w:sz w:val="24"/>
          <w:szCs w:val="18"/>
          <w:highlight w:val="none"/>
        </w:rPr>
        <w:t>三、私募基金的合格投资者</w:t>
      </w:r>
    </w:p>
    <w:p>
      <w:pPr>
        <w:widowControl/>
        <w:ind w:firstLine="480" w:firstLineChars="200"/>
        <w:jc w:val="left"/>
        <w:rPr>
          <w:rFonts w:ascii="楷体" w:hAnsi="楷体" w:eastAsia="楷体" w:cs="楷体"/>
          <w:sz w:val="24"/>
          <w:szCs w:val="18"/>
          <w:highlight w:val="none"/>
        </w:rPr>
      </w:pPr>
      <w:r>
        <w:rPr>
          <w:rFonts w:hint="eastAsia" w:ascii="楷体" w:hAnsi="楷体" w:eastAsia="楷体" w:cs="楷体"/>
          <w:sz w:val="24"/>
          <w:szCs w:val="18"/>
          <w:highlight w:val="none"/>
        </w:rPr>
        <w:t>本公司仅向符合下列合格投资者条件的特定对象，以非公开的方式推介、销售私募投资基金和私募资产管理计划。</w:t>
      </w:r>
    </w:p>
    <w:p>
      <w:pPr>
        <w:widowControl/>
        <w:ind w:firstLine="480" w:firstLineChars="200"/>
        <w:jc w:val="left"/>
        <w:rPr>
          <w:rFonts w:ascii="楷体" w:hAnsi="楷体" w:eastAsia="楷体" w:cs="楷体"/>
          <w:sz w:val="24"/>
          <w:szCs w:val="18"/>
          <w:highlight w:val="none"/>
        </w:rPr>
      </w:pPr>
      <w:r>
        <w:rPr>
          <w:rFonts w:hint="eastAsia" w:ascii="楷体" w:hAnsi="楷体" w:eastAsia="楷体" w:cs="楷体"/>
          <w:sz w:val="24"/>
          <w:szCs w:val="18"/>
          <w:highlight w:val="none"/>
        </w:rPr>
        <w:t>私募投资基金合格投资者，是指具备相应风险识别能力和风险承担能力，</w:t>
      </w:r>
      <w:r>
        <w:rPr>
          <w:rFonts w:hint="eastAsia" w:ascii="楷体" w:hAnsi="楷体" w:eastAsia="楷体" w:cs="楷体"/>
          <w:b/>
          <w:sz w:val="24"/>
          <w:szCs w:val="18"/>
          <w:highlight w:val="none"/>
        </w:rPr>
        <w:t>投资于单只私墓基金的金额不低于100万元</w:t>
      </w:r>
      <w:r>
        <w:rPr>
          <w:rFonts w:hint="eastAsia" w:ascii="楷体" w:hAnsi="楷体" w:eastAsia="楷体" w:cs="楷体"/>
          <w:sz w:val="24"/>
          <w:szCs w:val="18"/>
          <w:highlight w:val="none"/>
        </w:rPr>
        <w:t>且符合下列相关标准的单位和个人：</w:t>
      </w:r>
    </w:p>
    <w:p>
      <w:pPr>
        <w:widowControl/>
        <w:ind w:firstLine="480" w:firstLineChars="200"/>
        <w:jc w:val="left"/>
        <w:rPr>
          <w:rFonts w:ascii="楷体" w:hAnsi="楷体" w:eastAsia="楷体" w:cs="楷体"/>
          <w:sz w:val="24"/>
          <w:szCs w:val="18"/>
          <w:highlight w:val="none"/>
        </w:rPr>
      </w:pPr>
      <w:r>
        <w:rPr>
          <w:rFonts w:hint="eastAsia" w:ascii="楷体" w:hAnsi="楷体" w:eastAsia="楷体" w:cs="楷体"/>
          <w:sz w:val="24"/>
          <w:szCs w:val="18"/>
          <w:highlight w:val="none"/>
        </w:rPr>
        <w:t>（一）净资产不低于1000万元的单位;</w:t>
      </w:r>
    </w:p>
    <w:p>
      <w:pPr>
        <w:widowControl/>
        <w:ind w:firstLine="480" w:firstLineChars="200"/>
        <w:jc w:val="left"/>
        <w:rPr>
          <w:rFonts w:ascii="楷体" w:hAnsi="楷体" w:eastAsia="楷体" w:cs="楷体"/>
          <w:sz w:val="24"/>
          <w:szCs w:val="18"/>
          <w:highlight w:val="none"/>
        </w:rPr>
      </w:pPr>
      <w:r>
        <w:rPr>
          <w:rFonts w:hint="eastAsia" w:ascii="楷体" w:hAnsi="楷体" w:eastAsia="楷体" w:cs="楷体"/>
          <w:sz w:val="24"/>
          <w:szCs w:val="18"/>
          <w:highlight w:val="none"/>
        </w:rPr>
        <w:t>（二）金融资产不低于300万元或者最近三年个人年均收入不低于50万元的个人。</w:t>
      </w:r>
    </w:p>
    <w:p>
      <w:pPr>
        <w:widowControl/>
        <w:ind w:firstLine="480" w:firstLineChars="200"/>
        <w:jc w:val="left"/>
        <w:rPr>
          <w:rFonts w:ascii="楷体" w:hAnsi="楷体" w:eastAsia="楷体" w:cs="楷体"/>
          <w:sz w:val="24"/>
          <w:szCs w:val="18"/>
          <w:highlight w:val="none"/>
        </w:rPr>
      </w:pPr>
      <w:r>
        <w:rPr>
          <w:rFonts w:hint="eastAsia" w:ascii="楷体" w:hAnsi="楷体" w:eastAsia="楷体" w:cs="楷体"/>
          <w:sz w:val="24"/>
          <w:szCs w:val="18"/>
          <w:highlight w:val="none"/>
        </w:rPr>
        <w:t>前款所称金融资产包括银行存款、股票、债券、基金份额、资产管理计划、银行理财产品、信托计划、保险产品、期货权益等。</w:t>
      </w:r>
    </w:p>
    <w:p>
      <w:pPr>
        <w:widowControl/>
        <w:numPr>
          <w:ilvl w:val="0"/>
          <w:numId w:val="2"/>
        </w:numPr>
        <w:ind w:firstLine="480" w:firstLineChars="200"/>
        <w:jc w:val="left"/>
        <w:rPr>
          <w:rFonts w:ascii="楷体" w:hAnsi="楷体" w:eastAsia="楷体" w:cs="楷体"/>
          <w:sz w:val="24"/>
          <w:szCs w:val="18"/>
          <w:highlight w:val="none"/>
        </w:rPr>
      </w:pPr>
      <w:r>
        <w:rPr>
          <w:rFonts w:hint="eastAsia" w:ascii="楷体" w:hAnsi="楷体" w:eastAsia="楷体" w:cs="楷体"/>
          <w:sz w:val="24"/>
          <w:szCs w:val="18"/>
          <w:highlight w:val="none"/>
        </w:rPr>
        <w:t>社会保障基金、企业年金等养老基金，慈善基金等社会公益基金;</w:t>
      </w:r>
    </w:p>
    <w:p>
      <w:pPr>
        <w:widowControl/>
        <w:numPr>
          <w:ilvl w:val="0"/>
          <w:numId w:val="2"/>
        </w:numPr>
        <w:ind w:firstLine="480" w:firstLineChars="200"/>
        <w:jc w:val="left"/>
        <w:rPr>
          <w:rFonts w:ascii="楷体" w:hAnsi="楷体" w:eastAsia="楷体" w:cs="楷体"/>
          <w:sz w:val="24"/>
          <w:szCs w:val="18"/>
          <w:highlight w:val="none"/>
        </w:rPr>
      </w:pPr>
      <w:r>
        <w:rPr>
          <w:rFonts w:hint="eastAsia" w:ascii="楷体" w:hAnsi="楷体" w:eastAsia="楷体" w:cs="楷体"/>
          <w:sz w:val="24"/>
          <w:szCs w:val="18"/>
          <w:highlight w:val="none"/>
        </w:rPr>
        <w:t>依法设立并在基金业协会备案的投资计划;</w:t>
      </w:r>
    </w:p>
    <w:p>
      <w:pPr>
        <w:widowControl/>
        <w:numPr>
          <w:ilvl w:val="0"/>
          <w:numId w:val="2"/>
        </w:numPr>
        <w:ind w:firstLine="480" w:firstLineChars="200"/>
        <w:jc w:val="left"/>
        <w:rPr>
          <w:rFonts w:ascii="楷体" w:hAnsi="楷体" w:eastAsia="楷体" w:cs="楷体"/>
          <w:sz w:val="24"/>
          <w:szCs w:val="18"/>
          <w:highlight w:val="none"/>
        </w:rPr>
      </w:pPr>
      <w:r>
        <w:rPr>
          <w:rFonts w:hint="eastAsia" w:ascii="楷体" w:hAnsi="楷体" w:eastAsia="楷体" w:cs="楷体"/>
          <w:sz w:val="24"/>
          <w:szCs w:val="18"/>
          <w:highlight w:val="none"/>
        </w:rPr>
        <w:t>投资于所管理私募基金的私募基金管理人及其从业人员;</w:t>
      </w:r>
    </w:p>
    <w:p>
      <w:pPr>
        <w:widowControl/>
        <w:numPr>
          <w:ilvl w:val="0"/>
          <w:numId w:val="2"/>
        </w:numPr>
        <w:ind w:firstLine="480" w:firstLineChars="200"/>
        <w:jc w:val="left"/>
        <w:rPr>
          <w:rFonts w:ascii="楷体" w:hAnsi="楷体" w:eastAsia="楷体" w:cs="楷体"/>
          <w:sz w:val="24"/>
          <w:szCs w:val="18"/>
          <w:highlight w:val="none"/>
        </w:rPr>
      </w:pPr>
      <w:r>
        <w:rPr>
          <w:rFonts w:hint="eastAsia" w:ascii="楷体" w:hAnsi="楷体" w:eastAsia="楷体" w:cs="楷体"/>
          <w:sz w:val="24"/>
          <w:szCs w:val="18"/>
          <w:highlight w:val="none"/>
        </w:rPr>
        <w:t>中国证监会规定的其他投资者。</w:t>
      </w:r>
    </w:p>
    <w:p>
      <w:pPr>
        <w:widowControl/>
        <w:ind w:firstLine="480" w:firstLineChars="200"/>
        <w:jc w:val="left"/>
        <w:rPr>
          <w:rFonts w:ascii="楷体" w:hAnsi="楷体" w:eastAsia="楷体" w:cs="楷体"/>
          <w:sz w:val="24"/>
          <w:szCs w:val="18"/>
          <w:highlight w:val="none"/>
        </w:rPr>
      </w:pPr>
      <w:r>
        <w:rPr>
          <w:rFonts w:hint="eastAsia" w:ascii="楷体" w:hAnsi="楷体" w:eastAsia="楷体" w:cs="楷体"/>
          <w:sz w:val="24"/>
          <w:szCs w:val="18"/>
          <w:highlight w:val="none"/>
        </w:rPr>
        <w:t>私募资产管理计划合格投资者，是指具备相应风险识别能力和风险承受能力，</w:t>
      </w:r>
      <w:r>
        <w:rPr>
          <w:rFonts w:hint="eastAsia" w:ascii="楷体" w:hAnsi="楷体" w:eastAsia="楷体" w:cs="楷体"/>
          <w:b/>
          <w:sz w:val="24"/>
          <w:szCs w:val="18"/>
          <w:highlight w:val="none"/>
        </w:rPr>
        <w:t>投资于单只资产管理计划不低于一定金额</w:t>
      </w:r>
      <w:r>
        <w:rPr>
          <w:rFonts w:hint="eastAsia" w:ascii="楷体" w:hAnsi="楷体" w:eastAsia="楷体" w:cs="楷体"/>
          <w:sz w:val="24"/>
          <w:szCs w:val="18"/>
          <w:highlight w:val="none"/>
        </w:rPr>
        <w:t>且符合下列条件的自然人、法人或者其他组织：</w:t>
      </w:r>
    </w:p>
    <w:p>
      <w:pPr>
        <w:widowControl/>
        <w:ind w:firstLine="480" w:firstLineChars="200"/>
        <w:jc w:val="left"/>
        <w:rPr>
          <w:rFonts w:ascii="楷体" w:hAnsi="楷体" w:eastAsia="楷体" w:cs="楷体"/>
          <w:sz w:val="24"/>
          <w:szCs w:val="18"/>
          <w:highlight w:val="none"/>
        </w:rPr>
      </w:pPr>
      <w:r>
        <w:rPr>
          <w:rFonts w:hint="eastAsia" w:ascii="楷体" w:hAnsi="楷体" w:eastAsia="楷体" w:cs="楷体"/>
          <w:sz w:val="24"/>
          <w:szCs w:val="18"/>
          <w:highlight w:val="none"/>
        </w:rPr>
        <w:t>（一）具有2年以上投资经历，且满足下列三项条件之一的自然人：家庭金融净资产不低于300万元，家庭金融资产不低于500万元，或者近3年本人年均收入不低于40万元；</w:t>
      </w:r>
    </w:p>
    <w:p>
      <w:pPr>
        <w:widowControl/>
        <w:ind w:firstLine="480" w:firstLineChars="200"/>
        <w:jc w:val="left"/>
        <w:rPr>
          <w:rFonts w:ascii="楷体" w:hAnsi="楷体" w:eastAsia="楷体" w:cs="楷体"/>
          <w:sz w:val="24"/>
          <w:szCs w:val="18"/>
          <w:highlight w:val="none"/>
        </w:rPr>
      </w:pPr>
      <w:r>
        <w:rPr>
          <w:rFonts w:hint="eastAsia" w:ascii="楷体" w:hAnsi="楷体" w:eastAsia="楷体" w:cs="楷体"/>
          <w:sz w:val="24"/>
          <w:szCs w:val="18"/>
          <w:highlight w:val="none"/>
        </w:rPr>
        <w:t>（二）最近1年末净资产不低于1000万元的法人单位；</w:t>
      </w:r>
    </w:p>
    <w:p>
      <w:pPr>
        <w:widowControl/>
        <w:ind w:firstLine="480" w:firstLineChars="200"/>
        <w:jc w:val="left"/>
        <w:rPr>
          <w:rFonts w:ascii="楷体" w:hAnsi="楷体" w:eastAsia="楷体" w:cs="楷体"/>
          <w:sz w:val="24"/>
          <w:szCs w:val="18"/>
          <w:highlight w:val="none"/>
        </w:rPr>
      </w:pPr>
      <w:r>
        <w:rPr>
          <w:rFonts w:hint="eastAsia" w:ascii="楷体" w:hAnsi="楷体" w:eastAsia="楷体" w:cs="楷体"/>
          <w:sz w:val="24"/>
          <w:szCs w:val="18"/>
          <w:highlight w:val="none"/>
        </w:rPr>
        <w:t>（三）依法设立并接受国务院金融监督管理机构监管的机构，包括证券公司及其子公司、基金管理公司及其子公司、期货公司及其子公司、在中国证券投资基金业协会登记的私募基金管理人、商业银行、金融资产投资公司、信托公司、保险公司、保险资产管理机构、财务公司及中国证监会认定的其他机构；</w:t>
      </w:r>
    </w:p>
    <w:p>
      <w:pPr>
        <w:widowControl/>
        <w:ind w:firstLine="480" w:firstLineChars="200"/>
        <w:jc w:val="left"/>
        <w:rPr>
          <w:rFonts w:ascii="楷体" w:hAnsi="楷体" w:eastAsia="楷体" w:cs="楷体"/>
          <w:sz w:val="24"/>
          <w:szCs w:val="18"/>
          <w:highlight w:val="none"/>
        </w:rPr>
      </w:pPr>
      <w:r>
        <w:rPr>
          <w:rFonts w:hint="eastAsia" w:ascii="楷体" w:hAnsi="楷体" w:eastAsia="楷体" w:cs="楷体"/>
          <w:sz w:val="24"/>
          <w:szCs w:val="18"/>
          <w:highlight w:val="none"/>
        </w:rPr>
        <w:t>（四）接受国务院金融监督管理机构监管的机构发行的资产管理产品；</w:t>
      </w:r>
    </w:p>
    <w:p>
      <w:pPr>
        <w:widowControl/>
        <w:ind w:firstLine="480" w:firstLineChars="200"/>
        <w:jc w:val="left"/>
        <w:rPr>
          <w:rFonts w:ascii="楷体" w:hAnsi="楷体" w:eastAsia="楷体" w:cs="楷体"/>
          <w:sz w:val="24"/>
          <w:szCs w:val="18"/>
          <w:highlight w:val="none"/>
        </w:rPr>
      </w:pPr>
      <w:r>
        <w:rPr>
          <w:rFonts w:hint="eastAsia" w:ascii="楷体" w:hAnsi="楷体" w:eastAsia="楷体" w:cs="楷体"/>
          <w:sz w:val="24"/>
          <w:szCs w:val="18"/>
          <w:highlight w:val="none"/>
        </w:rPr>
        <w:t>（五）基本养老金、社会保障基金、企业年金等养老基金，慈善基金等社会公益基金，合格境外机构投资者（QFII）、人民币合格境外机构投资者（RQFII）；</w:t>
      </w:r>
    </w:p>
    <w:p>
      <w:pPr>
        <w:widowControl/>
        <w:ind w:firstLine="480" w:firstLineChars="200"/>
        <w:jc w:val="left"/>
        <w:rPr>
          <w:rFonts w:ascii="楷体" w:hAnsi="楷体" w:eastAsia="楷体" w:cs="楷体"/>
          <w:sz w:val="24"/>
          <w:szCs w:val="18"/>
          <w:highlight w:val="none"/>
        </w:rPr>
      </w:pPr>
      <w:r>
        <w:rPr>
          <w:rFonts w:hint="eastAsia" w:ascii="楷体" w:hAnsi="楷体" w:eastAsia="楷体" w:cs="楷体"/>
          <w:sz w:val="24"/>
          <w:szCs w:val="18"/>
          <w:highlight w:val="none"/>
        </w:rPr>
        <w:t>（六）中国证监会视为合格投资者的其他情形。</w:t>
      </w:r>
    </w:p>
    <w:p>
      <w:pPr>
        <w:widowControl/>
        <w:ind w:firstLine="480" w:firstLineChars="200"/>
        <w:jc w:val="left"/>
        <w:rPr>
          <w:rFonts w:ascii="楷体" w:hAnsi="楷体" w:eastAsia="楷体" w:cs="楷体"/>
          <w:sz w:val="24"/>
          <w:szCs w:val="18"/>
          <w:highlight w:val="none"/>
        </w:rPr>
      </w:pPr>
      <w:r>
        <w:rPr>
          <w:rFonts w:hint="eastAsia" w:ascii="楷体" w:hAnsi="楷体" w:eastAsia="楷体" w:cs="楷体"/>
          <w:sz w:val="24"/>
          <w:szCs w:val="18"/>
          <w:highlight w:val="none"/>
        </w:rPr>
        <w:t>私募资产管理计划合格投资者，投资于单只固定收益类资产管理计划的金额不低于30万元，投资于单只混合类资产管理计划的金额不低于40万元，投资于单只权益类、商品及金融衍生品类资产管理计划的金额不低于100万元。</w:t>
      </w:r>
    </w:p>
    <w:p>
      <w:pPr>
        <w:widowControl/>
        <w:ind w:firstLine="480" w:firstLineChars="200"/>
        <w:jc w:val="left"/>
        <w:rPr>
          <w:rFonts w:ascii="楷体" w:hAnsi="楷体" w:eastAsia="楷体" w:cs="楷体"/>
          <w:sz w:val="24"/>
          <w:szCs w:val="18"/>
          <w:highlight w:val="none"/>
        </w:rPr>
      </w:pPr>
      <w:r>
        <w:rPr>
          <w:rFonts w:hint="eastAsia" w:ascii="楷体" w:hAnsi="楷体" w:eastAsia="楷体" w:cs="楷体"/>
          <w:sz w:val="24"/>
          <w:szCs w:val="18"/>
          <w:highlight w:val="none"/>
        </w:rPr>
        <w:t>资产管理计划投资于《证券期货经营机构私募资产管理业务管理办法》第三十七条第（五）项规定的非标准化资产的，接受单个合格投资者委托资金的金额不低于100万元。</w:t>
      </w:r>
    </w:p>
    <w:p>
      <w:pPr>
        <w:widowControl/>
        <w:ind w:firstLine="482" w:firstLineChars="200"/>
        <w:outlineLvl w:val="1"/>
        <w:rPr>
          <w:rFonts w:ascii="楷体" w:hAnsi="楷体" w:eastAsia="楷体" w:cs="楷体"/>
          <w:b/>
          <w:sz w:val="24"/>
          <w:szCs w:val="18"/>
          <w:highlight w:val="none"/>
        </w:rPr>
      </w:pPr>
      <w:r>
        <w:rPr>
          <w:rFonts w:hint="eastAsia" w:ascii="楷体" w:hAnsi="楷体" w:eastAsia="楷体" w:cs="楷体"/>
          <w:b/>
          <w:sz w:val="24"/>
          <w:szCs w:val="18"/>
          <w:highlight w:val="none"/>
        </w:rPr>
        <w:t>四、基金交易业务流程</w:t>
      </w:r>
    </w:p>
    <w:p>
      <w:pPr>
        <w:widowControl/>
        <w:ind w:firstLine="480" w:firstLineChars="200"/>
        <w:rPr>
          <w:rFonts w:hint="eastAsia" w:ascii="楷体" w:hAnsi="楷体" w:eastAsia="楷体" w:cs="楷体"/>
          <w:sz w:val="24"/>
          <w:szCs w:val="18"/>
          <w:highlight w:val="none"/>
        </w:rPr>
      </w:pPr>
      <w:r>
        <w:rPr>
          <w:rFonts w:hint="eastAsia" w:ascii="楷体" w:hAnsi="楷体" w:eastAsia="楷体" w:cs="楷体"/>
          <w:sz w:val="24"/>
          <w:szCs w:val="18"/>
          <w:highlight w:val="none"/>
        </w:rPr>
        <w:t>投资者欲了解各类基金的详细业务流程可以前往本公司营业网点</w:t>
      </w:r>
      <w:r>
        <w:rPr>
          <w:rFonts w:hint="eastAsia" w:ascii="楷体" w:hAnsi="楷体" w:eastAsia="楷体" w:cs="楷体"/>
          <w:sz w:val="24"/>
          <w:szCs w:val="18"/>
          <w:highlight w:val="none"/>
          <w:lang w:eastAsia="zh-CN"/>
        </w:rPr>
        <w:t>、</w:t>
      </w:r>
      <w:r>
        <w:rPr>
          <w:rFonts w:hint="eastAsia" w:ascii="楷体" w:hAnsi="楷体" w:eastAsia="楷体" w:cs="楷体"/>
          <w:sz w:val="24"/>
          <w:szCs w:val="18"/>
          <w:highlight w:val="none"/>
          <w:lang w:val="en-US" w:eastAsia="zh-CN"/>
        </w:rPr>
        <w:t>官网</w:t>
      </w:r>
      <w:r>
        <w:rPr>
          <w:rFonts w:hint="eastAsia" w:ascii="楷体" w:hAnsi="楷体" w:eastAsia="楷体" w:cs="楷体"/>
          <w:sz w:val="24"/>
          <w:szCs w:val="18"/>
          <w:highlight w:val="none"/>
        </w:rPr>
        <w:t>，仔细阅读各基金的招募说明书、基金合同、风险揭示</w:t>
      </w:r>
      <w:r>
        <w:rPr>
          <w:rFonts w:hint="eastAsia" w:ascii="楷体" w:hAnsi="楷体" w:eastAsia="楷体" w:cs="楷体"/>
          <w:sz w:val="24"/>
          <w:szCs w:val="18"/>
          <w:highlight w:val="none"/>
          <w:lang w:val="en-US" w:eastAsia="zh-CN"/>
        </w:rPr>
        <w:t>函</w:t>
      </w:r>
      <w:r>
        <w:rPr>
          <w:rFonts w:hint="eastAsia" w:ascii="楷体" w:hAnsi="楷体" w:eastAsia="楷体" w:cs="楷体"/>
          <w:sz w:val="24"/>
          <w:szCs w:val="18"/>
          <w:highlight w:val="none"/>
        </w:rPr>
        <w:t>、</w:t>
      </w:r>
      <w:r>
        <w:rPr>
          <w:rFonts w:hint="eastAsia" w:ascii="楷体" w:hAnsi="楷体" w:eastAsia="楷体" w:cs="楷体"/>
          <w:sz w:val="24"/>
          <w:szCs w:val="18"/>
          <w:highlight w:val="none"/>
          <w:lang w:val="en-US" w:eastAsia="zh-CN"/>
        </w:rPr>
        <w:t>产品资料概要文件</w:t>
      </w:r>
      <w:r>
        <w:rPr>
          <w:rFonts w:hint="eastAsia" w:ascii="楷体" w:hAnsi="楷体" w:eastAsia="楷体" w:cs="楷体"/>
          <w:sz w:val="24"/>
          <w:szCs w:val="18"/>
          <w:highlight w:val="none"/>
        </w:rPr>
        <w:t>以及本公司关于基金交易业务的相关公告。</w:t>
      </w:r>
    </w:p>
    <w:p>
      <w:pPr>
        <w:widowControl/>
        <w:ind w:firstLine="480" w:firstLineChars="200"/>
        <w:rPr>
          <w:rFonts w:ascii="楷体" w:hAnsi="楷体" w:eastAsia="楷体" w:cs="楷体"/>
          <w:sz w:val="23"/>
          <w:szCs w:val="23"/>
        </w:rPr>
      </w:pPr>
      <w:r>
        <w:rPr>
          <w:rFonts w:hint="eastAsia" w:ascii="楷体" w:hAnsi="楷体" w:eastAsia="楷体" w:cs="楷体"/>
          <w:sz w:val="24"/>
          <w:szCs w:val="18"/>
          <w:highlight w:val="none"/>
        </w:rPr>
        <w:t>投资人在本公司</w:t>
      </w:r>
      <w:r>
        <w:rPr>
          <w:rFonts w:hint="eastAsia" w:ascii="楷体" w:hAnsi="楷体" w:eastAsia="楷体" w:cs="楷体"/>
          <w:sz w:val="24"/>
          <w:szCs w:val="18"/>
          <w:highlight w:val="none"/>
          <w:lang w:val="en-US" w:eastAsia="zh-CN"/>
        </w:rPr>
        <w:t>现场</w:t>
      </w:r>
      <w:r>
        <w:rPr>
          <w:rFonts w:hint="eastAsia" w:ascii="楷体" w:hAnsi="楷体" w:eastAsia="楷体" w:cs="楷体"/>
          <w:sz w:val="24"/>
          <w:szCs w:val="18"/>
          <w:highlight w:val="none"/>
          <w:lang w:eastAsia="zh-CN"/>
        </w:rPr>
        <w:t>、</w:t>
      </w:r>
      <w:r>
        <w:rPr>
          <w:rFonts w:hint="eastAsia" w:ascii="楷体" w:hAnsi="楷体" w:eastAsia="楷体" w:cs="楷体"/>
          <w:sz w:val="24"/>
          <w:szCs w:val="18"/>
          <w:highlight w:val="none"/>
          <w:lang w:val="en-US" w:eastAsia="zh-CN"/>
        </w:rPr>
        <w:t>传真</w:t>
      </w:r>
      <w:r>
        <w:rPr>
          <w:rFonts w:hint="default" w:ascii="楷体" w:hAnsi="楷体" w:eastAsia="楷体" w:cs="楷体"/>
          <w:sz w:val="24"/>
          <w:szCs w:val="18"/>
          <w:highlight w:val="none"/>
        </w:rPr>
        <w:t>或</w:t>
      </w:r>
      <w:r>
        <w:rPr>
          <w:rFonts w:hint="default" w:ascii="楷体" w:hAnsi="楷体" w:eastAsia="楷体" w:cs="楷体"/>
          <w:sz w:val="24"/>
          <w:szCs w:val="18"/>
          <w:highlight w:val="none"/>
          <w:lang w:val="en-US" w:eastAsia="zh-CN"/>
        </w:rPr>
        <w:t>互联网网上自助式交易服务系统</w:t>
      </w:r>
      <w:r>
        <w:rPr>
          <w:rFonts w:hint="default" w:ascii="楷体" w:hAnsi="楷体" w:eastAsia="楷体" w:cs="楷体"/>
          <w:sz w:val="24"/>
          <w:szCs w:val="18"/>
          <w:highlight w:val="none"/>
        </w:rPr>
        <w:t>（包括但不限于app、</w:t>
      </w:r>
      <w:r>
        <w:rPr>
          <w:rFonts w:hint="eastAsia" w:ascii="楷体" w:hAnsi="楷体" w:eastAsia="楷体" w:cs="楷体"/>
          <w:sz w:val="24"/>
          <w:szCs w:val="18"/>
          <w:highlight w:val="none"/>
          <w:lang w:val="en-US" w:eastAsia="zh-CN"/>
        </w:rPr>
        <w:t>官网</w:t>
      </w:r>
      <w:r>
        <w:rPr>
          <w:rFonts w:hint="default" w:ascii="楷体" w:hAnsi="楷体" w:eastAsia="楷体" w:cs="楷体"/>
          <w:sz w:val="24"/>
          <w:szCs w:val="18"/>
          <w:highlight w:val="none"/>
        </w:rPr>
        <w:t>、微信小程序等公司官方互联网渠道）</w:t>
      </w:r>
      <w:r>
        <w:rPr>
          <w:rFonts w:hint="eastAsia" w:ascii="楷体" w:hAnsi="楷体" w:eastAsia="楷体" w:cs="楷体"/>
          <w:sz w:val="24"/>
          <w:szCs w:val="18"/>
          <w:highlight w:val="none"/>
        </w:rPr>
        <w:t>成功提交账户申请及交易申请仅表示本公司对申请的受理，并不代表本公司对申请的确认，申请的成功确认应以基金注册登记机构的确认登记为准。本公司作为基金代理销售机构不承担开户申请被拒绝或交易失败给投资者造成的风险。投资者应在基金招募说明书规定的时间通过</w:t>
      </w:r>
      <w:r>
        <w:rPr>
          <w:rFonts w:hint="eastAsia" w:ascii="楷体" w:hAnsi="楷体" w:eastAsia="楷体" w:cs="楷体"/>
          <w:sz w:val="24"/>
          <w:szCs w:val="18"/>
          <w:highlight w:val="none"/>
          <w:lang w:val="en-US" w:eastAsia="zh-CN"/>
        </w:rPr>
        <w:t>现场、传真</w:t>
      </w:r>
      <w:r>
        <w:rPr>
          <w:rFonts w:hint="default" w:ascii="楷体" w:hAnsi="楷体" w:eastAsia="楷体" w:cs="楷体"/>
          <w:sz w:val="24"/>
          <w:szCs w:val="18"/>
          <w:highlight w:val="none"/>
        </w:rPr>
        <w:t>或</w:t>
      </w:r>
      <w:r>
        <w:rPr>
          <w:rFonts w:hint="default" w:ascii="楷体" w:hAnsi="楷体" w:eastAsia="楷体" w:cs="楷体"/>
          <w:sz w:val="24"/>
          <w:szCs w:val="18"/>
          <w:highlight w:val="none"/>
          <w:lang w:val="en-US" w:eastAsia="zh-CN"/>
        </w:rPr>
        <w:t>互联网网上自助式交易服务系统</w:t>
      </w:r>
      <w:r>
        <w:rPr>
          <w:rFonts w:hint="default" w:ascii="楷体" w:hAnsi="楷体" w:eastAsia="楷体" w:cs="楷体"/>
          <w:sz w:val="24"/>
          <w:szCs w:val="18"/>
          <w:highlight w:val="none"/>
        </w:rPr>
        <w:t>（包括但不限于app、</w:t>
      </w:r>
      <w:r>
        <w:rPr>
          <w:rFonts w:hint="eastAsia" w:ascii="楷体" w:hAnsi="楷体" w:eastAsia="楷体" w:cs="楷体"/>
          <w:sz w:val="24"/>
          <w:szCs w:val="18"/>
          <w:highlight w:val="none"/>
          <w:lang w:val="en-US" w:eastAsia="zh-CN"/>
        </w:rPr>
        <w:t>官网</w:t>
      </w:r>
      <w:r>
        <w:rPr>
          <w:rFonts w:hint="default" w:ascii="楷体" w:hAnsi="楷体" w:eastAsia="楷体" w:cs="楷体"/>
          <w:sz w:val="24"/>
          <w:szCs w:val="18"/>
          <w:highlight w:val="none"/>
        </w:rPr>
        <w:t>、微信小程序等公司官方互联网渠道）</w:t>
      </w:r>
      <w:r>
        <w:rPr>
          <w:rFonts w:hint="eastAsia" w:ascii="楷体" w:hAnsi="楷体" w:eastAsia="楷体" w:cs="楷体"/>
          <w:sz w:val="24"/>
          <w:szCs w:val="18"/>
          <w:highlight w:val="none"/>
        </w:rPr>
        <w:t>查询确认结果。若投资者提交的基金交易账户的申请被拒绝、或交易被确认失败时，根据证监会《证券投资基金销售机构内部控制指导意见》第二十一条第 (六) 款规定，本公司负责将前述结果及时通知投资者。</w:t>
      </w:r>
    </w:p>
    <w:p>
      <w:pPr>
        <w:widowControl/>
        <w:ind w:firstLine="482" w:firstLineChars="200"/>
        <w:outlineLvl w:val="1"/>
        <w:rPr>
          <w:rFonts w:ascii="楷体" w:hAnsi="楷体" w:eastAsia="楷体" w:cs="楷体"/>
          <w:b/>
          <w:sz w:val="24"/>
          <w:szCs w:val="18"/>
          <w:highlight w:val="none"/>
        </w:rPr>
      </w:pPr>
      <w:r>
        <w:rPr>
          <w:rFonts w:hint="eastAsia" w:ascii="楷体" w:hAnsi="楷体" w:eastAsia="楷体" w:cs="楷体"/>
          <w:b/>
          <w:sz w:val="24"/>
          <w:szCs w:val="18"/>
          <w:highlight w:val="none"/>
        </w:rPr>
        <w:t>五、基金产品评级</w:t>
      </w:r>
    </w:p>
    <w:p>
      <w:pPr>
        <w:widowControl/>
        <w:ind w:firstLine="480" w:firstLineChars="200"/>
        <w:rPr>
          <w:rFonts w:hint="eastAsia" w:ascii="楷体" w:hAnsi="楷体" w:eastAsia="楷体" w:cs="楷体"/>
          <w:sz w:val="24"/>
          <w:szCs w:val="18"/>
          <w:highlight w:val="none"/>
        </w:rPr>
      </w:pPr>
      <w:r>
        <w:rPr>
          <w:rFonts w:hint="eastAsia" w:ascii="楷体" w:hAnsi="楷体" w:eastAsia="楷体" w:cs="楷体"/>
          <w:sz w:val="24"/>
          <w:szCs w:val="18"/>
          <w:highlight w:val="none"/>
        </w:rPr>
        <w:t>基金产品评级是依据一定标准对基金产品进行分析从而做出优劣评价。投资人在投资基金产品</w:t>
      </w:r>
    </w:p>
    <w:p>
      <w:pPr>
        <w:widowControl/>
        <w:ind w:firstLine="480" w:firstLineChars="200"/>
        <w:rPr>
          <w:rFonts w:hint="eastAsia" w:ascii="楷体" w:hAnsi="楷体" w:eastAsia="楷体" w:cs="楷体"/>
          <w:sz w:val="24"/>
          <w:szCs w:val="18"/>
          <w:highlight w:val="none"/>
        </w:rPr>
      </w:pPr>
      <w:r>
        <w:rPr>
          <w:rFonts w:hint="eastAsia" w:ascii="楷体" w:hAnsi="楷体" w:eastAsia="楷体" w:cs="楷体"/>
          <w:sz w:val="24"/>
          <w:szCs w:val="18"/>
          <w:highlight w:val="none"/>
        </w:rPr>
        <w:t>时，可以适当参考评级结果，但切不可把评级作为选择基金产品的唯一依据。此外，基金产品评级 是对</w:t>
      </w:r>
      <w:r>
        <w:rPr>
          <w:rFonts w:hint="eastAsia" w:ascii="楷体" w:hAnsi="楷体" w:eastAsia="楷体" w:cs="楷体"/>
          <w:sz w:val="24"/>
          <w:szCs w:val="18"/>
          <w:highlight w:val="none"/>
          <w:lang w:val="en-US" w:eastAsia="zh-CN"/>
        </w:rPr>
        <w:t>基金</w:t>
      </w:r>
      <w:r>
        <w:rPr>
          <w:rFonts w:hint="eastAsia" w:ascii="楷体" w:hAnsi="楷体" w:eastAsia="楷体" w:cs="楷体"/>
          <w:sz w:val="24"/>
          <w:szCs w:val="18"/>
          <w:highlight w:val="none"/>
        </w:rPr>
        <w:t>管理人过往的业绩表现做出评价，并不代表基金产品未来长期业绩的表现。</w:t>
      </w:r>
    </w:p>
    <w:p>
      <w:pPr>
        <w:widowControl/>
        <w:ind w:firstLine="480" w:firstLineChars="200"/>
        <w:rPr>
          <w:rFonts w:hint="eastAsia" w:ascii="楷体" w:hAnsi="楷体" w:eastAsia="楷体" w:cs="楷体"/>
          <w:sz w:val="24"/>
          <w:szCs w:val="18"/>
          <w:highlight w:val="none"/>
        </w:rPr>
      </w:pPr>
      <w:r>
        <w:rPr>
          <w:rFonts w:hint="eastAsia" w:ascii="楷体" w:hAnsi="楷体" w:eastAsia="楷体" w:cs="楷体"/>
          <w:sz w:val="24"/>
          <w:szCs w:val="18"/>
          <w:highlight w:val="none"/>
        </w:rPr>
        <w:t>本公司将根据销售适用性原则，对</w:t>
      </w:r>
      <w:r>
        <w:rPr>
          <w:rFonts w:hint="eastAsia" w:ascii="楷体" w:hAnsi="楷体" w:eastAsia="楷体" w:cs="楷体"/>
          <w:sz w:val="24"/>
          <w:szCs w:val="18"/>
          <w:highlight w:val="none"/>
          <w:lang w:val="en-US" w:eastAsia="zh-CN"/>
        </w:rPr>
        <w:t>基金</w:t>
      </w:r>
      <w:r>
        <w:rPr>
          <w:rFonts w:hint="eastAsia" w:ascii="楷体" w:hAnsi="楷体" w:eastAsia="楷体" w:cs="楷体"/>
          <w:sz w:val="24"/>
          <w:szCs w:val="18"/>
          <w:highlight w:val="none"/>
        </w:rPr>
        <w:t>管理人进行审慎调查，并对基金产品进行风险评价。</w:t>
      </w:r>
    </w:p>
    <w:p>
      <w:pPr>
        <w:widowControl/>
        <w:ind w:firstLine="480" w:firstLineChars="200"/>
        <w:rPr>
          <w:rFonts w:hint="eastAsia" w:ascii="楷体" w:hAnsi="楷体" w:eastAsia="楷体" w:cs="楷体"/>
          <w:sz w:val="24"/>
          <w:szCs w:val="18"/>
          <w:highlight w:val="none"/>
        </w:rPr>
      </w:pPr>
      <w:r>
        <w:rPr>
          <w:rFonts w:hint="eastAsia" w:ascii="楷体" w:hAnsi="楷体" w:eastAsia="楷体" w:cs="楷体"/>
          <w:sz w:val="24"/>
          <w:szCs w:val="18"/>
          <w:highlight w:val="none"/>
        </w:rPr>
        <w:t>根据《证券期货投资者适当性管理办法》及《基金募集机构投资者适当性管理实施指引(试行)》 等相关要求，本公司对基金产品进行审慎评估，将基金产品风险评价结果按照由低到高的顺序，划 分为 R1 (</w:t>
      </w:r>
      <w:r>
        <w:rPr>
          <w:rFonts w:hint="eastAsia" w:ascii="楷体" w:hAnsi="楷体" w:eastAsia="楷体" w:cs="楷体"/>
          <w:sz w:val="24"/>
          <w:szCs w:val="18"/>
          <w:highlight w:val="none"/>
          <w:lang w:val="en-US" w:eastAsia="zh-CN"/>
        </w:rPr>
        <w:t>低风险</w:t>
      </w:r>
      <w:r>
        <w:rPr>
          <w:rFonts w:hint="eastAsia" w:ascii="楷体" w:hAnsi="楷体" w:eastAsia="楷体" w:cs="楷体"/>
          <w:sz w:val="24"/>
          <w:szCs w:val="18"/>
          <w:highlight w:val="none"/>
        </w:rPr>
        <w:t>) 、R2 (</w:t>
      </w:r>
      <w:r>
        <w:rPr>
          <w:rFonts w:hint="eastAsia" w:ascii="楷体" w:hAnsi="楷体" w:eastAsia="楷体" w:cs="楷体"/>
          <w:sz w:val="24"/>
          <w:szCs w:val="18"/>
          <w:highlight w:val="none"/>
          <w:lang w:val="en-US" w:eastAsia="zh-CN"/>
        </w:rPr>
        <w:t>中低风险</w:t>
      </w:r>
      <w:r>
        <w:rPr>
          <w:rFonts w:hint="eastAsia" w:ascii="楷体" w:hAnsi="楷体" w:eastAsia="楷体" w:cs="楷体"/>
          <w:sz w:val="24"/>
          <w:szCs w:val="18"/>
          <w:highlight w:val="none"/>
        </w:rPr>
        <w:t>) 、R3 (</w:t>
      </w:r>
      <w:r>
        <w:rPr>
          <w:rFonts w:hint="eastAsia" w:ascii="楷体" w:hAnsi="楷体" w:eastAsia="楷体" w:cs="楷体"/>
          <w:sz w:val="24"/>
          <w:szCs w:val="18"/>
          <w:highlight w:val="none"/>
          <w:lang w:val="en-US" w:eastAsia="zh-CN"/>
        </w:rPr>
        <w:t>中风险</w:t>
      </w:r>
      <w:r>
        <w:rPr>
          <w:rFonts w:hint="eastAsia" w:ascii="楷体" w:hAnsi="楷体" w:eastAsia="楷体" w:cs="楷体"/>
          <w:sz w:val="24"/>
          <w:szCs w:val="18"/>
          <w:highlight w:val="none"/>
        </w:rPr>
        <w:t>) 、R4 (</w:t>
      </w:r>
      <w:r>
        <w:rPr>
          <w:rFonts w:hint="eastAsia" w:ascii="楷体" w:hAnsi="楷体" w:eastAsia="楷体" w:cs="楷体"/>
          <w:sz w:val="24"/>
          <w:szCs w:val="18"/>
          <w:highlight w:val="none"/>
          <w:lang w:val="en-US" w:eastAsia="zh-CN"/>
        </w:rPr>
        <w:t>中高风险</w:t>
      </w:r>
      <w:r>
        <w:rPr>
          <w:rFonts w:hint="eastAsia" w:ascii="楷体" w:hAnsi="楷体" w:eastAsia="楷体" w:cs="楷体"/>
          <w:sz w:val="24"/>
          <w:szCs w:val="18"/>
          <w:highlight w:val="none"/>
        </w:rPr>
        <w:t>) 、R5 (</w:t>
      </w:r>
      <w:r>
        <w:rPr>
          <w:rFonts w:hint="eastAsia" w:ascii="楷体" w:hAnsi="楷体" w:eastAsia="楷体" w:cs="楷体"/>
          <w:sz w:val="24"/>
          <w:szCs w:val="18"/>
          <w:highlight w:val="none"/>
          <w:lang w:val="en-US" w:eastAsia="zh-CN"/>
        </w:rPr>
        <w:t>高风险</w:t>
      </w:r>
      <w:r>
        <w:rPr>
          <w:rFonts w:hint="eastAsia" w:ascii="楷体" w:hAnsi="楷体" w:eastAsia="楷体" w:cs="楷体"/>
          <w:sz w:val="24"/>
          <w:szCs w:val="18"/>
          <w:highlight w:val="none"/>
        </w:rPr>
        <w:t>) 五个风险等级。</w:t>
      </w:r>
    </w:p>
    <w:p>
      <w:pPr>
        <w:widowControl/>
        <w:ind w:firstLine="482" w:firstLineChars="200"/>
        <w:outlineLvl w:val="1"/>
        <w:rPr>
          <w:rFonts w:ascii="楷体" w:hAnsi="楷体" w:eastAsia="楷体" w:cs="楷体"/>
          <w:b/>
          <w:sz w:val="24"/>
          <w:szCs w:val="18"/>
          <w:highlight w:val="none"/>
        </w:rPr>
      </w:pPr>
      <w:r>
        <w:rPr>
          <w:rFonts w:hint="eastAsia" w:ascii="楷体" w:hAnsi="楷体" w:eastAsia="楷体" w:cs="楷体"/>
          <w:b/>
          <w:sz w:val="24"/>
          <w:szCs w:val="18"/>
          <w:highlight w:val="none"/>
        </w:rPr>
        <w:t>六、投资者分类</w:t>
      </w:r>
    </w:p>
    <w:p>
      <w:pPr>
        <w:widowControl/>
        <w:ind w:firstLine="480" w:firstLineChars="200"/>
        <w:rPr>
          <w:rFonts w:ascii="楷体" w:hAnsi="楷体" w:eastAsia="楷体" w:cs="楷体"/>
          <w:sz w:val="24"/>
          <w:szCs w:val="18"/>
          <w:highlight w:val="none"/>
        </w:rPr>
      </w:pPr>
      <w:r>
        <w:rPr>
          <w:rFonts w:hint="eastAsia" w:ascii="楷体" w:hAnsi="楷体" w:eastAsia="楷体" w:cs="楷体"/>
          <w:sz w:val="24"/>
          <w:szCs w:val="18"/>
          <w:highlight w:val="none"/>
        </w:rPr>
        <w:t>根据投资者信息表、风险测评问卷以及其他相关材料，在了解客户信息的基础上，本公司对客户划分为专业投资者与普通投资者。专业投资者之外的投资者为普通投资者。普通投资者在信息告知、风险警示、适当性匹配等方面享有特别保护。普通投资者和专业投资者在一定条件下可以相互转化。</w:t>
      </w:r>
    </w:p>
    <w:p>
      <w:pPr>
        <w:widowControl/>
        <w:ind w:firstLine="482" w:firstLineChars="200"/>
        <w:outlineLvl w:val="2"/>
        <w:rPr>
          <w:rFonts w:ascii="楷体" w:hAnsi="楷体" w:eastAsia="楷体" w:cs="楷体"/>
          <w:b/>
          <w:sz w:val="24"/>
          <w:szCs w:val="18"/>
          <w:highlight w:val="none"/>
        </w:rPr>
      </w:pPr>
      <w:r>
        <w:rPr>
          <w:rFonts w:hint="eastAsia" w:ascii="楷体" w:hAnsi="楷体" w:eastAsia="楷体" w:cs="楷体"/>
          <w:b/>
          <w:sz w:val="24"/>
          <w:szCs w:val="18"/>
          <w:highlight w:val="none"/>
        </w:rPr>
        <w:t>（一）专业投资者</w:t>
      </w:r>
    </w:p>
    <w:p>
      <w:pPr>
        <w:widowControl/>
        <w:ind w:firstLine="480" w:firstLineChars="200"/>
        <w:rPr>
          <w:rFonts w:ascii="楷体" w:hAnsi="楷体" w:eastAsia="楷体" w:cs="楷体"/>
          <w:sz w:val="24"/>
          <w:szCs w:val="18"/>
          <w:highlight w:val="none"/>
        </w:rPr>
      </w:pPr>
      <w:r>
        <w:rPr>
          <w:rFonts w:hint="eastAsia" w:ascii="楷体" w:hAnsi="楷体" w:eastAsia="楷体" w:cs="楷体"/>
          <w:sz w:val="24"/>
          <w:szCs w:val="18"/>
          <w:highlight w:val="none"/>
        </w:rPr>
        <w:t>1、满足以下条件之一的是专业投资者：</w:t>
      </w:r>
    </w:p>
    <w:p>
      <w:pPr>
        <w:widowControl/>
        <w:ind w:firstLine="480" w:firstLineChars="200"/>
        <w:rPr>
          <w:rFonts w:ascii="楷体" w:hAnsi="楷体" w:eastAsia="楷体" w:cs="楷体"/>
          <w:sz w:val="24"/>
          <w:szCs w:val="18"/>
          <w:highlight w:val="none"/>
        </w:rPr>
      </w:pPr>
      <w:r>
        <w:rPr>
          <w:rFonts w:hint="eastAsia" w:ascii="楷体" w:hAnsi="楷体" w:eastAsia="楷体" w:cs="楷体"/>
          <w:sz w:val="24"/>
          <w:szCs w:val="18"/>
          <w:highlight w:val="none"/>
        </w:rPr>
        <w:t>（1）经有关金融监管部门批准设立的金融机构，包括证券公司、期货公司、基金管理公司及其子公司、商业银行、保险公司、信托公司、财务公司等;经行业协会备案或者登记的证券公司子公司、期货公司子公司、私募基金管理人。</w:t>
      </w:r>
    </w:p>
    <w:p>
      <w:pPr>
        <w:widowControl/>
        <w:ind w:firstLine="480" w:firstLineChars="200"/>
        <w:rPr>
          <w:rFonts w:ascii="楷体" w:hAnsi="楷体" w:eastAsia="楷体" w:cs="楷体"/>
          <w:sz w:val="24"/>
          <w:szCs w:val="18"/>
          <w:highlight w:val="none"/>
        </w:rPr>
      </w:pPr>
      <w:r>
        <w:rPr>
          <w:rFonts w:hint="eastAsia" w:ascii="楷体" w:hAnsi="楷体" w:eastAsia="楷体" w:cs="楷体"/>
          <w:sz w:val="24"/>
          <w:szCs w:val="18"/>
          <w:highlight w:val="none"/>
        </w:rPr>
        <w:t>（2）上述机构面向投资者发行的理财产品，包括但不限于证券公司资产管理产品、基金管理公司及其子公司产品、期货公司资产管理产品、银行理财产品、保险产品、信托产品、经行业协会备案的私募基金。</w:t>
      </w:r>
    </w:p>
    <w:p>
      <w:pPr>
        <w:widowControl/>
        <w:ind w:firstLine="480" w:firstLineChars="200"/>
        <w:rPr>
          <w:rFonts w:ascii="楷体" w:hAnsi="楷体" w:eastAsia="楷体" w:cs="楷体"/>
          <w:sz w:val="24"/>
          <w:szCs w:val="18"/>
          <w:highlight w:val="none"/>
        </w:rPr>
      </w:pPr>
      <w:r>
        <w:rPr>
          <w:rFonts w:hint="eastAsia" w:ascii="楷体" w:hAnsi="楷体" w:eastAsia="楷体" w:cs="楷体"/>
          <w:sz w:val="24"/>
          <w:szCs w:val="18"/>
          <w:highlight w:val="none"/>
        </w:rPr>
        <w:t>（3）社会保障基金、企业年金等养老基金，慈善基金等社会公益基金，合格境外机构投资者（QFII）、人民币合格境外机构投资者（RQFII）。</w:t>
      </w:r>
    </w:p>
    <w:p>
      <w:pPr>
        <w:widowControl/>
        <w:ind w:firstLine="480" w:firstLineChars="200"/>
        <w:rPr>
          <w:rFonts w:ascii="楷体" w:hAnsi="楷体" w:eastAsia="楷体" w:cs="楷体"/>
          <w:sz w:val="24"/>
          <w:szCs w:val="18"/>
          <w:highlight w:val="none"/>
        </w:rPr>
      </w:pPr>
      <w:r>
        <w:rPr>
          <w:rFonts w:hint="eastAsia" w:ascii="楷体" w:hAnsi="楷体" w:eastAsia="楷体" w:cs="楷体"/>
          <w:sz w:val="24"/>
          <w:szCs w:val="18"/>
          <w:highlight w:val="none"/>
        </w:rPr>
        <w:t>（4）同时符合下列条件的法人或者其他组织：1.最近1年末净资产不低于2000万元;2.最近1年末金融资产不低于1000万元;3.具有2年以上证券、基金、期货、黄金、外汇等投资经历。</w:t>
      </w:r>
    </w:p>
    <w:p>
      <w:pPr>
        <w:widowControl/>
        <w:ind w:firstLine="480" w:firstLineChars="200"/>
        <w:rPr>
          <w:rFonts w:ascii="楷体" w:hAnsi="楷体" w:eastAsia="楷体" w:cs="楷体"/>
          <w:sz w:val="24"/>
          <w:szCs w:val="18"/>
          <w:highlight w:val="none"/>
        </w:rPr>
      </w:pPr>
      <w:r>
        <w:rPr>
          <w:rFonts w:hint="eastAsia" w:ascii="楷体" w:hAnsi="楷体" w:eastAsia="楷体" w:cs="楷体"/>
          <w:sz w:val="24"/>
          <w:szCs w:val="18"/>
          <w:highlight w:val="none"/>
        </w:rPr>
        <w:t>（5）同时符合下列条件的自然人：1.金融资产不低于500万元，或者最近3年个人年均收入不低于50万元;2.具有2年以上证券、基金、期货、黄金、外汇等投资经历.或者具有2年以上金融产品设计、投资、风险管理及相关工作经历，或者属于本条第（1）项规定的专业投资者的高级管理人员、获得职业资格认证的从事金融相关业务的注册会计师和律师。</w:t>
      </w:r>
    </w:p>
    <w:p>
      <w:pPr>
        <w:widowControl/>
        <w:ind w:firstLine="480" w:firstLineChars="200"/>
        <w:rPr>
          <w:rFonts w:ascii="楷体" w:hAnsi="楷体" w:eastAsia="楷体" w:cs="楷体"/>
          <w:sz w:val="24"/>
          <w:szCs w:val="18"/>
          <w:highlight w:val="none"/>
        </w:rPr>
      </w:pPr>
      <w:r>
        <w:rPr>
          <w:rFonts w:hint="eastAsia" w:ascii="楷体" w:hAnsi="楷体" w:eastAsia="楷体" w:cs="楷体"/>
          <w:sz w:val="24"/>
          <w:szCs w:val="18"/>
          <w:highlight w:val="none"/>
        </w:rPr>
        <w:t>前款所称金融资产，是指银行存款、股票、债券、基金份额、资产管理计划、银行理财产品、信托计划、保险产品、期货及其他衍生产品等。</w:t>
      </w:r>
    </w:p>
    <w:p>
      <w:pPr>
        <w:widowControl/>
        <w:ind w:firstLine="480" w:firstLineChars="200"/>
        <w:rPr>
          <w:rFonts w:ascii="楷体" w:hAnsi="楷体" w:eastAsia="楷体" w:cs="楷体"/>
          <w:sz w:val="24"/>
          <w:szCs w:val="18"/>
          <w:highlight w:val="none"/>
        </w:rPr>
      </w:pPr>
      <w:r>
        <w:rPr>
          <w:rFonts w:hint="eastAsia" w:ascii="楷体" w:hAnsi="楷体" w:eastAsia="楷体" w:cs="楷体"/>
          <w:sz w:val="24"/>
          <w:szCs w:val="18"/>
          <w:highlight w:val="none"/>
        </w:rPr>
        <w:t>本公司可以根据专业投资者的业务资格、投资实力、投资经历等因素。对专业投资者进行细化分类和管理，专业投资者的具体分类和管理以届时公司发布的通知为准。</w:t>
      </w:r>
    </w:p>
    <w:p>
      <w:pPr>
        <w:widowControl/>
        <w:ind w:firstLine="482" w:firstLineChars="200"/>
        <w:outlineLvl w:val="2"/>
        <w:rPr>
          <w:rFonts w:ascii="楷体" w:hAnsi="楷体" w:eastAsia="楷体" w:cs="楷体"/>
          <w:b/>
          <w:sz w:val="24"/>
          <w:szCs w:val="18"/>
          <w:highlight w:val="none"/>
        </w:rPr>
      </w:pPr>
      <w:r>
        <w:rPr>
          <w:rFonts w:hint="eastAsia" w:ascii="楷体" w:hAnsi="楷体" w:eastAsia="楷体" w:cs="楷体"/>
          <w:b/>
          <w:sz w:val="24"/>
          <w:szCs w:val="18"/>
          <w:highlight w:val="none"/>
        </w:rPr>
        <w:t>（二）普通投资者</w:t>
      </w:r>
    </w:p>
    <w:p>
      <w:pPr>
        <w:widowControl/>
        <w:ind w:firstLine="480" w:firstLineChars="200"/>
        <w:rPr>
          <w:rFonts w:ascii="楷体" w:hAnsi="楷体" w:eastAsia="楷体" w:cs="楷体"/>
          <w:sz w:val="24"/>
          <w:szCs w:val="18"/>
          <w:highlight w:val="none"/>
        </w:rPr>
      </w:pPr>
      <w:r>
        <w:rPr>
          <w:rFonts w:hint="eastAsia" w:ascii="楷体" w:hAnsi="楷体" w:eastAsia="楷体" w:cs="楷体"/>
          <w:sz w:val="24"/>
          <w:szCs w:val="18"/>
          <w:highlight w:val="none"/>
        </w:rPr>
        <w:t>专业投资者以外的投资者即为普通投资者。投资者可通过网上交易平台或本公司营业网点柜台开立基金交易账户时选择本人/本机构为普通投资者或专业投资者。</w:t>
      </w:r>
    </w:p>
    <w:p>
      <w:pPr>
        <w:widowControl/>
        <w:ind w:firstLine="480" w:firstLineChars="200"/>
        <w:rPr>
          <w:rFonts w:ascii="楷体" w:hAnsi="楷体" w:eastAsia="楷体" w:cs="楷体"/>
          <w:sz w:val="24"/>
          <w:szCs w:val="18"/>
          <w:highlight w:val="none"/>
        </w:rPr>
      </w:pPr>
      <w:r>
        <w:rPr>
          <w:rFonts w:hint="eastAsia" w:ascii="楷体" w:hAnsi="楷体" w:eastAsia="楷体" w:cs="楷体"/>
          <w:sz w:val="24"/>
          <w:szCs w:val="18"/>
          <w:highlight w:val="none"/>
        </w:rPr>
        <w:t>1、普通投资者享有的特别保护包括：向普通投资者销售产品前，公司应当对普通投资者进行风险警示；向普通投资者销售高风险产品前，公司应当向其完整揭示产品信息，并告知特别的风险点；普通投资者申请转化为专业投资者，公司应当向普通投资者说明对不同类别投资者履行适当性义务的差别，警示可能承担的投资风险;普通投资者主动购买风险不匹配产品时，公司应当向投资者进行特别警示，投资者可选择终止交易，也可选择继续购买。</w:t>
      </w:r>
    </w:p>
    <w:p>
      <w:pPr>
        <w:spacing w:line="242" w:lineRule="auto"/>
        <w:ind w:left="481"/>
        <w:rPr>
          <w:rFonts w:ascii="楷体" w:hAnsi="楷体" w:eastAsia="楷体" w:cs="楷体"/>
          <w:sz w:val="23"/>
          <w:szCs w:val="23"/>
        </w:rPr>
      </w:pPr>
      <w:r>
        <w:rPr>
          <w:rFonts w:hint="eastAsia" w:ascii="楷体" w:hAnsi="楷体" w:eastAsia="楷体" w:cs="楷体"/>
          <w:sz w:val="24"/>
          <w:szCs w:val="18"/>
          <w:highlight w:val="none"/>
        </w:rPr>
        <w:t>2、普通投资者的风险分级共五级，分为 C1</w:t>
      </w:r>
      <w:r>
        <w:rPr>
          <w:rFonts w:hint="eastAsia" w:ascii="楷体" w:hAnsi="楷体" w:eastAsia="楷体" w:cs="楷体"/>
          <w:sz w:val="24"/>
          <w:szCs w:val="18"/>
          <w:highlight w:val="none"/>
          <w:lang w:eastAsia="zh-CN"/>
        </w:rPr>
        <w:t>（</w:t>
      </w:r>
      <w:r>
        <w:rPr>
          <w:rFonts w:hint="eastAsia" w:ascii="楷体" w:hAnsi="楷体" w:eastAsia="楷体" w:cs="楷体"/>
          <w:sz w:val="24"/>
          <w:szCs w:val="18"/>
          <w:highlight w:val="none"/>
          <w:lang w:val="en-US" w:eastAsia="zh-CN"/>
        </w:rPr>
        <w:t>保守型</w:t>
      </w:r>
      <w:r>
        <w:rPr>
          <w:rFonts w:hint="eastAsia" w:ascii="楷体" w:hAnsi="楷体" w:eastAsia="楷体" w:cs="楷体"/>
          <w:sz w:val="24"/>
          <w:szCs w:val="18"/>
          <w:highlight w:val="none"/>
          <w:lang w:eastAsia="zh-CN"/>
        </w:rPr>
        <w:t>）</w:t>
      </w:r>
      <w:r>
        <w:rPr>
          <w:rFonts w:hint="eastAsia" w:ascii="楷体" w:hAnsi="楷体" w:eastAsia="楷体" w:cs="楷体"/>
          <w:sz w:val="24"/>
          <w:szCs w:val="18"/>
          <w:highlight w:val="none"/>
        </w:rPr>
        <w:t>、C2</w:t>
      </w:r>
      <w:r>
        <w:rPr>
          <w:rFonts w:hint="eastAsia" w:ascii="楷体" w:hAnsi="楷体" w:eastAsia="楷体" w:cs="楷体"/>
          <w:sz w:val="24"/>
          <w:szCs w:val="18"/>
          <w:highlight w:val="none"/>
          <w:lang w:eastAsia="zh-CN"/>
        </w:rPr>
        <w:t>（</w:t>
      </w:r>
      <w:r>
        <w:rPr>
          <w:rFonts w:hint="eastAsia" w:ascii="楷体" w:hAnsi="楷体" w:eastAsia="楷体" w:cs="楷体"/>
          <w:sz w:val="24"/>
          <w:szCs w:val="18"/>
          <w:highlight w:val="none"/>
          <w:lang w:val="en-US" w:eastAsia="zh-CN"/>
        </w:rPr>
        <w:t>稳健型</w:t>
      </w:r>
      <w:r>
        <w:rPr>
          <w:rFonts w:hint="eastAsia" w:ascii="楷体" w:hAnsi="楷体" w:eastAsia="楷体" w:cs="楷体"/>
          <w:sz w:val="24"/>
          <w:szCs w:val="18"/>
          <w:highlight w:val="none"/>
          <w:lang w:eastAsia="zh-CN"/>
        </w:rPr>
        <w:t>）</w:t>
      </w:r>
      <w:r>
        <w:rPr>
          <w:rFonts w:hint="eastAsia" w:ascii="楷体" w:hAnsi="楷体" w:eastAsia="楷体" w:cs="楷体"/>
          <w:sz w:val="24"/>
          <w:szCs w:val="18"/>
          <w:highlight w:val="none"/>
        </w:rPr>
        <w:t>、C3</w:t>
      </w:r>
      <w:r>
        <w:rPr>
          <w:rFonts w:hint="eastAsia" w:ascii="楷体" w:hAnsi="楷体" w:eastAsia="楷体" w:cs="楷体"/>
          <w:sz w:val="24"/>
          <w:szCs w:val="18"/>
          <w:highlight w:val="none"/>
          <w:lang w:eastAsia="zh-CN"/>
        </w:rPr>
        <w:t>（</w:t>
      </w:r>
      <w:r>
        <w:rPr>
          <w:rFonts w:hint="eastAsia" w:ascii="楷体" w:hAnsi="楷体" w:eastAsia="楷体" w:cs="楷体"/>
          <w:sz w:val="24"/>
          <w:szCs w:val="18"/>
          <w:highlight w:val="none"/>
          <w:lang w:val="en-US" w:eastAsia="zh-CN"/>
        </w:rPr>
        <w:t>平衡型</w:t>
      </w:r>
      <w:r>
        <w:rPr>
          <w:rFonts w:hint="eastAsia" w:ascii="楷体" w:hAnsi="楷体" w:eastAsia="楷体" w:cs="楷体"/>
          <w:sz w:val="24"/>
          <w:szCs w:val="18"/>
          <w:highlight w:val="none"/>
          <w:lang w:eastAsia="zh-CN"/>
        </w:rPr>
        <w:t>）</w:t>
      </w:r>
      <w:r>
        <w:rPr>
          <w:rFonts w:hint="eastAsia" w:ascii="楷体" w:hAnsi="楷体" w:eastAsia="楷体" w:cs="楷体"/>
          <w:sz w:val="24"/>
          <w:szCs w:val="18"/>
          <w:highlight w:val="none"/>
        </w:rPr>
        <w:t>、C4</w:t>
      </w:r>
      <w:r>
        <w:rPr>
          <w:rFonts w:hint="eastAsia" w:ascii="楷体" w:hAnsi="楷体" w:eastAsia="楷体" w:cs="楷体"/>
          <w:sz w:val="24"/>
          <w:szCs w:val="18"/>
          <w:highlight w:val="none"/>
          <w:lang w:eastAsia="zh-CN"/>
        </w:rPr>
        <w:t>（</w:t>
      </w:r>
      <w:r>
        <w:rPr>
          <w:rFonts w:hint="eastAsia" w:ascii="楷体" w:hAnsi="楷体" w:eastAsia="楷体" w:cs="楷体"/>
          <w:sz w:val="24"/>
          <w:szCs w:val="18"/>
          <w:highlight w:val="none"/>
          <w:lang w:val="en-US" w:eastAsia="zh-CN"/>
        </w:rPr>
        <w:t>进取型</w:t>
      </w:r>
      <w:r>
        <w:rPr>
          <w:rFonts w:hint="eastAsia" w:ascii="楷体" w:hAnsi="楷体" w:eastAsia="楷体" w:cs="楷体"/>
          <w:sz w:val="24"/>
          <w:szCs w:val="18"/>
          <w:highlight w:val="none"/>
          <w:lang w:eastAsia="zh-CN"/>
        </w:rPr>
        <w:t>）</w:t>
      </w:r>
      <w:r>
        <w:rPr>
          <w:rFonts w:hint="eastAsia" w:ascii="楷体" w:hAnsi="楷体" w:eastAsia="楷体" w:cs="楷体"/>
          <w:sz w:val="24"/>
          <w:szCs w:val="18"/>
          <w:highlight w:val="none"/>
        </w:rPr>
        <w:t>、C5</w:t>
      </w:r>
      <w:r>
        <w:rPr>
          <w:rFonts w:hint="eastAsia" w:ascii="楷体" w:hAnsi="楷体" w:eastAsia="楷体" w:cs="楷体"/>
          <w:sz w:val="24"/>
          <w:szCs w:val="18"/>
          <w:highlight w:val="none"/>
          <w:lang w:eastAsia="zh-CN"/>
        </w:rPr>
        <w:t>（</w:t>
      </w:r>
      <w:r>
        <w:rPr>
          <w:rFonts w:hint="eastAsia" w:ascii="楷体" w:hAnsi="楷体" w:eastAsia="楷体" w:cs="楷体"/>
          <w:sz w:val="24"/>
          <w:szCs w:val="18"/>
          <w:highlight w:val="none"/>
          <w:lang w:val="en-US" w:eastAsia="zh-CN"/>
        </w:rPr>
        <w:t>激进型</w:t>
      </w:r>
      <w:r>
        <w:rPr>
          <w:rFonts w:hint="eastAsia" w:ascii="楷体" w:hAnsi="楷体" w:eastAsia="楷体" w:cs="楷体"/>
          <w:sz w:val="24"/>
          <w:szCs w:val="18"/>
          <w:highlight w:val="none"/>
          <w:lang w:eastAsia="zh-CN"/>
        </w:rPr>
        <w:t>）</w:t>
      </w:r>
      <w:r>
        <w:rPr>
          <w:rFonts w:hint="eastAsia" w:ascii="楷体" w:hAnsi="楷体" w:eastAsia="楷体" w:cs="楷体"/>
          <w:sz w:val="24"/>
          <w:szCs w:val="18"/>
          <w:highlight w:val="none"/>
        </w:rPr>
        <w:t xml:space="preserve"> 五大类</w:t>
      </w:r>
    </w:p>
    <w:p>
      <w:pPr>
        <w:widowControl/>
        <w:ind w:firstLine="480" w:firstLineChars="200"/>
        <w:rPr>
          <w:rFonts w:ascii="楷体" w:hAnsi="楷体" w:eastAsia="楷体" w:cs="楷体"/>
          <w:sz w:val="24"/>
          <w:szCs w:val="18"/>
          <w:highlight w:val="none"/>
        </w:rPr>
      </w:pPr>
      <w:r>
        <w:rPr>
          <w:rFonts w:hint="eastAsia" w:ascii="楷体" w:hAnsi="楷体" w:eastAsia="楷体" w:cs="楷体"/>
          <w:sz w:val="24"/>
          <w:szCs w:val="18"/>
          <w:highlight w:val="none"/>
        </w:rPr>
        <w:t>3、客户风险承受能力与产品风险等级匹配情况如下：</w:t>
      </w:r>
    </w:p>
    <w:tbl>
      <w:tblPr>
        <w:tblStyle w:val="55"/>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826"/>
        <w:gridCol w:w="526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7" w:hRule="atLeast"/>
          <w:jc w:val="center"/>
        </w:trPr>
        <w:tc>
          <w:tcPr>
            <w:tcW w:w="9091" w:type="dxa"/>
            <w:gridSpan w:val="2"/>
            <w:vAlign w:val="center"/>
          </w:tcPr>
          <w:p>
            <w:pPr>
              <w:widowControl/>
              <w:jc w:val="center"/>
              <w:rPr>
                <w:rFonts w:ascii="楷体" w:hAnsi="楷体" w:eastAsia="楷体" w:cs="楷体"/>
                <w:b/>
                <w:sz w:val="24"/>
                <w:szCs w:val="18"/>
                <w:highlight w:val="none"/>
              </w:rPr>
            </w:pPr>
            <w:r>
              <w:rPr>
                <w:rFonts w:hint="eastAsia" w:ascii="楷体" w:hAnsi="楷体" w:eastAsia="楷体" w:cs="楷体"/>
                <w:b/>
                <w:sz w:val="28"/>
                <w:szCs w:val="18"/>
                <w:highlight w:val="none"/>
              </w:rPr>
              <w:t>适当性匹配原则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 w:hRule="atLeast"/>
          <w:jc w:val="center"/>
        </w:trPr>
        <w:tc>
          <w:tcPr>
            <w:tcW w:w="3826" w:type="dxa"/>
            <w:vAlign w:val="center"/>
          </w:tcPr>
          <w:p>
            <w:pPr>
              <w:widowControl/>
              <w:rPr>
                <w:rFonts w:ascii="楷体" w:hAnsi="楷体" w:eastAsia="楷体" w:cs="楷体"/>
                <w:sz w:val="24"/>
                <w:szCs w:val="18"/>
                <w:highlight w:val="none"/>
              </w:rPr>
            </w:pPr>
            <w:r>
              <w:rPr>
                <w:rFonts w:hint="eastAsia" w:ascii="楷体" w:hAnsi="楷体" w:eastAsia="楷体" w:cs="楷体"/>
                <w:sz w:val="24"/>
                <w:szCs w:val="18"/>
                <w:highlight w:val="none"/>
              </w:rPr>
              <w:t>投资者风险承受能力等级</w:t>
            </w:r>
          </w:p>
        </w:tc>
        <w:tc>
          <w:tcPr>
            <w:tcW w:w="5265" w:type="dxa"/>
            <w:vAlign w:val="center"/>
          </w:tcPr>
          <w:p>
            <w:pPr>
              <w:widowControl/>
              <w:rPr>
                <w:rFonts w:ascii="楷体" w:hAnsi="楷体" w:eastAsia="楷体" w:cs="楷体"/>
                <w:sz w:val="24"/>
                <w:szCs w:val="18"/>
                <w:highlight w:val="none"/>
              </w:rPr>
            </w:pPr>
            <w:r>
              <w:rPr>
                <w:rFonts w:hint="eastAsia" w:ascii="楷体" w:hAnsi="楷体" w:eastAsia="楷体" w:cs="楷体"/>
                <w:sz w:val="24"/>
                <w:szCs w:val="18"/>
                <w:highlight w:val="none"/>
              </w:rPr>
              <w:t>可购买或接受的证券投资基金产品或服务等级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 w:hRule="atLeast"/>
          <w:jc w:val="center"/>
        </w:trPr>
        <w:tc>
          <w:tcPr>
            <w:tcW w:w="3826" w:type="dxa"/>
            <w:vAlign w:val="center"/>
          </w:tcPr>
          <w:p>
            <w:pPr>
              <w:widowControl/>
              <w:rPr>
                <w:rFonts w:ascii="楷体" w:hAnsi="楷体" w:eastAsia="楷体" w:cs="楷体"/>
                <w:sz w:val="24"/>
                <w:szCs w:val="18"/>
                <w:highlight w:val="none"/>
              </w:rPr>
            </w:pPr>
            <w:r>
              <w:rPr>
                <w:rFonts w:hint="eastAsia" w:ascii="楷体" w:hAnsi="楷体" w:eastAsia="楷体" w:cs="楷体"/>
                <w:sz w:val="24"/>
                <w:szCs w:val="18"/>
                <w:highlight w:val="none"/>
              </w:rPr>
              <w:t>C1（含风险承受能力最低类别）</w:t>
            </w:r>
          </w:p>
        </w:tc>
        <w:tc>
          <w:tcPr>
            <w:tcW w:w="5265" w:type="dxa"/>
            <w:vAlign w:val="center"/>
          </w:tcPr>
          <w:p>
            <w:pPr>
              <w:widowControl/>
              <w:rPr>
                <w:rFonts w:ascii="楷体" w:hAnsi="楷体" w:eastAsia="楷体" w:cs="楷体"/>
                <w:sz w:val="24"/>
                <w:szCs w:val="18"/>
                <w:highlight w:val="none"/>
              </w:rPr>
            </w:pPr>
            <w:r>
              <w:rPr>
                <w:rFonts w:hint="eastAsia" w:ascii="楷体" w:hAnsi="楷体" w:eastAsia="楷体" w:cs="楷体"/>
                <w:sz w:val="24"/>
                <w:szCs w:val="18"/>
                <w:highlight w:val="none"/>
              </w:rPr>
              <w:t>R1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 w:hRule="atLeast"/>
          <w:jc w:val="center"/>
        </w:trPr>
        <w:tc>
          <w:tcPr>
            <w:tcW w:w="3826" w:type="dxa"/>
            <w:vAlign w:val="center"/>
          </w:tcPr>
          <w:p>
            <w:pPr>
              <w:widowControl/>
              <w:rPr>
                <w:rFonts w:ascii="楷体" w:hAnsi="楷体" w:eastAsia="楷体" w:cs="楷体"/>
                <w:sz w:val="24"/>
                <w:szCs w:val="18"/>
                <w:highlight w:val="none"/>
              </w:rPr>
            </w:pPr>
            <w:r>
              <w:rPr>
                <w:rFonts w:hint="eastAsia" w:ascii="楷体" w:hAnsi="楷体" w:eastAsia="楷体" w:cs="楷体"/>
                <w:sz w:val="24"/>
                <w:szCs w:val="18"/>
                <w:highlight w:val="none"/>
              </w:rPr>
              <w:t>C2</w:t>
            </w:r>
          </w:p>
        </w:tc>
        <w:tc>
          <w:tcPr>
            <w:tcW w:w="5265" w:type="dxa"/>
            <w:vAlign w:val="center"/>
          </w:tcPr>
          <w:p>
            <w:pPr>
              <w:widowControl/>
              <w:rPr>
                <w:rFonts w:ascii="楷体" w:hAnsi="楷体" w:eastAsia="楷体" w:cs="楷体"/>
                <w:sz w:val="24"/>
                <w:szCs w:val="18"/>
                <w:highlight w:val="none"/>
              </w:rPr>
            </w:pPr>
            <w:r>
              <w:rPr>
                <w:rFonts w:hint="eastAsia" w:ascii="楷体" w:hAnsi="楷体" w:eastAsia="楷体" w:cs="楷体"/>
                <w:sz w:val="24"/>
                <w:szCs w:val="18"/>
                <w:highlight w:val="none"/>
              </w:rPr>
              <w:t>R1、R2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 w:hRule="atLeast"/>
          <w:jc w:val="center"/>
        </w:trPr>
        <w:tc>
          <w:tcPr>
            <w:tcW w:w="3826" w:type="dxa"/>
            <w:vAlign w:val="center"/>
          </w:tcPr>
          <w:p>
            <w:pPr>
              <w:widowControl/>
              <w:rPr>
                <w:rFonts w:ascii="楷体" w:hAnsi="楷体" w:eastAsia="楷体" w:cs="楷体"/>
                <w:sz w:val="24"/>
                <w:szCs w:val="18"/>
                <w:highlight w:val="none"/>
              </w:rPr>
            </w:pPr>
            <w:r>
              <w:rPr>
                <w:rFonts w:hint="eastAsia" w:ascii="楷体" w:hAnsi="楷体" w:eastAsia="楷体" w:cs="楷体"/>
                <w:sz w:val="24"/>
                <w:szCs w:val="18"/>
                <w:highlight w:val="none"/>
              </w:rPr>
              <w:t>C3</w:t>
            </w:r>
          </w:p>
        </w:tc>
        <w:tc>
          <w:tcPr>
            <w:tcW w:w="5265" w:type="dxa"/>
            <w:vAlign w:val="center"/>
          </w:tcPr>
          <w:p>
            <w:pPr>
              <w:widowControl/>
              <w:rPr>
                <w:rFonts w:ascii="楷体" w:hAnsi="楷体" w:eastAsia="楷体" w:cs="楷体"/>
                <w:sz w:val="24"/>
                <w:szCs w:val="18"/>
                <w:highlight w:val="none"/>
              </w:rPr>
            </w:pPr>
            <w:r>
              <w:rPr>
                <w:rFonts w:hint="eastAsia" w:ascii="楷体" w:hAnsi="楷体" w:eastAsia="楷体" w:cs="楷体"/>
                <w:sz w:val="24"/>
                <w:szCs w:val="18"/>
                <w:highlight w:val="none"/>
              </w:rPr>
              <w:t>R1、R2、R3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 w:hRule="atLeast"/>
          <w:jc w:val="center"/>
        </w:trPr>
        <w:tc>
          <w:tcPr>
            <w:tcW w:w="3826" w:type="dxa"/>
            <w:vAlign w:val="center"/>
          </w:tcPr>
          <w:p>
            <w:pPr>
              <w:widowControl/>
              <w:rPr>
                <w:rFonts w:ascii="楷体" w:hAnsi="楷体" w:eastAsia="楷体" w:cs="楷体"/>
                <w:sz w:val="24"/>
                <w:szCs w:val="18"/>
                <w:highlight w:val="none"/>
              </w:rPr>
            </w:pPr>
            <w:r>
              <w:rPr>
                <w:rFonts w:hint="eastAsia" w:ascii="楷体" w:hAnsi="楷体" w:eastAsia="楷体" w:cs="楷体"/>
                <w:sz w:val="24"/>
                <w:szCs w:val="18"/>
                <w:highlight w:val="none"/>
              </w:rPr>
              <w:t>C4</w:t>
            </w:r>
          </w:p>
        </w:tc>
        <w:tc>
          <w:tcPr>
            <w:tcW w:w="5265" w:type="dxa"/>
            <w:vAlign w:val="center"/>
          </w:tcPr>
          <w:p>
            <w:pPr>
              <w:widowControl/>
              <w:rPr>
                <w:rFonts w:ascii="楷体" w:hAnsi="楷体" w:eastAsia="楷体" w:cs="楷体"/>
                <w:sz w:val="24"/>
                <w:szCs w:val="18"/>
                <w:highlight w:val="none"/>
              </w:rPr>
            </w:pPr>
            <w:r>
              <w:rPr>
                <w:rFonts w:hint="eastAsia" w:ascii="楷体" w:hAnsi="楷体" w:eastAsia="楷体" w:cs="楷体"/>
                <w:sz w:val="24"/>
                <w:szCs w:val="18"/>
                <w:highlight w:val="none"/>
              </w:rPr>
              <w:t>R1、R2、R3、R4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 w:hRule="atLeast"/>
          <w:jc w:val="center"/>
        </w:trPr>
        <w:tc>
          <w:tcPr>
            <w:tcW w:w="3826" w:type="dxa"/>
            <w:vAlign w:val="center"/>
          </w:tcPr>
          <w:p>
            <w:pPr>
              <w:widowControl/>
              <w:rPr>
                <w:rFonts w:ascii="楷体" w:hAnsi="楷体" w:eastAsia="楷体" w:cs="楷体"/>
                <w:sz w:val="24"/>
                <w:szCs w:val="18"/>
                <w:highlight w:val="none"/>
              </w:rPr>
            </w:pPr>
            <w:r>
              <w:rPr>
                <w:rFonts w:hint="eastAsia" w:ascii="楷体" w:hAnsi="楷体" w:eastAsia="楷体" w:cs="楷体"/>
                <w:sz w:val="24"/>
                <w:szCs w:val="18"/>
                <w:highlight w:val="none"/>
              </w:rPr>
              <w:t>C5</w:t>
            </w:r>
          </w:p>
        </w:tc>
        <w:tc>
          <w:tcPr>
            <w:tcW w:w="5265" w:type="dxa"/>
            <w:vAlign w:val="center"/>
          </w:tcPr>
          <w:p>
            <w:pPr>
              <w:widowControl/>
              <w:rPr>
                <w:rFonts w:ascii="楷体" w:hAnsi="楷体" w:eastAsia="楷体" w:cs="楷体"/>
                <w:sz w:val="24"/>
                <w:szCs w:val="18"/>
                <w:highlight w:val="none"/>
              </w:rPr>
            </w:pPr>
            <w:r>
              <w:rPr>
                <w:rFonts w:hint="eastAsia" w:ascii="楷体" w:hAnsi="楷体" w:eastAsia="楷体" w:cs="楷体"/>
                <w:sz w:val="24"/>
                <w:szCs w:val="18"/>
                <w:highlight w:val="none"/>
              </w:rPr>
              <w:t>R1、R2、R3、R4、R5</w:t>
            </w:r>
          </w:p>
        </w:tc>
      </w:tr>
    </w:tbl>
    <w:p>
      <w:pPr>
        <w:widowControl/>
        <w:ind w:firstLine="482" w:firstLineChars="200"/>
        <w:outlineLvl w:val="2"/>
        <w:rPr>
          <w:rFonts w:ascii="楷体" w:hAnsi="楷体" w:eastAsia="楷体" w:cs="楷体"/>
          <w:b/>
          <w:sz w:val="24"/>
          <w:szCs w:val="18"/>
          <w:highlight w:val="none"/>
        </w:rPr>
      </w:pPr>
      <w:r>
        <w:rPr>
          <w:rFonts w:hint="eastAsia" w:ascii="楷体" w:hAnsi="楷体" w:eastAsia="楷体" w:cs="楷体"/>
          <w:b/>
          <w:sz w:val="24"/>
          <w:szCs w:val="18"/>
          <w:highlight w:val="none"/>
        </w:rPr>
        <w:t>（三）普通投资者与专业投资者的互相转化</w:t>
      </w:r>
    </w:p>
    <w:p>
      <w:pPr>
        <w:widowControl/>
        <w:ind w:firstLine="480" w:firstLineChars="200"/>
        <w:rPr>
          <w:rFonts w:ascii="楷体" w:hAnsi="楷体" w:eastAsia="楷体" w:cs="楷体"/>
          <w:sz w:val="24"/>
          <w:szCs w:val="18"/>
          <w:highlight w:val="none"/>
        </w:rPr>
      </w:pPr>
      <w:r>
        <w:rPr>
          <w:rFonts w:hint="eastAsia" w:ascii="楷体" w:hAnsi="楷体" w:eastAsia="楷体" w:cs="楷体"/>
          <w:sz w:val="24"/>
          <w:szCs w:val="18"/>
          <w:highlight w:val="none"/>
        </w:rPr>
        <w:t>普通投资者与专业投资者在一定条件下可互相转化、投资者类型的转化仅可通过本公司营业网点柜台办理。</w:t>
      </w:r>
    </w:p>
    <w:p>
      <w:pPr>
        <w:widowControl/>
        <w:ind w:firstLine="480" w:firstLineChars="200"/>
        <w:rPr>
          <w:rFonts w:ascii="楷体" w:hAnsi="楷体" w:eastAsia="楷体" w:cs="楷体"/>
          <w:sz w:val="24"/>
          <w:szCs w:val="18"/>
          <w:highlight w:val="none"/>
        </w:rPr>
      </w:pPr>
      <w:r>
        <w:rPr>
          <w:rFonts w:hint="eastAsia" w:ascii="楷体" w:hAnsi="楷体" w:eastAsia="楷体" w:cs="楷体"/>
          <w:sz w:val="24"/>
          <w:szCs w:val="18"/>
          <w:highlight w:val="none"/>
        </w:rPr>
        <w:t>1.专业投资者转化为普通投资者</w:t>
      </w:r>
    </w:p>
    <w:p>
      <w:pPr>
        <w:widowControl/>
        <w:ind w:firstLine="480" w:firstLineChars="200"/>
        <w:rPr>
          <w:rFonts w:ascii="楷体" w:hAnsi="楷体" w:eastAsia="楷体" w:cs="楷体"/>
          <w:sz w:val="24"/>
          <w:szCs w:val="18"/>
          <w:highlight w:val="none"/>
        </w:rPr>
      </w:pPr>
      <w:r>
        <w:rPr>
          <w:rFonts w:hint="eastAsia" w:ascii="楷体" w:hAnsi="楷体" w:eastAsia="楷体" w:cs="楷体"/>
          <w:sz w:val="24"/>
          <w:szCs w:val="18"/>
          <w:highlight w:val="none"/>
        </w:rPr>
        <w:t>专业投资者可以书面告知本公司选择成为普通投资者，本公司应当对其履行相应的适当性义务。</w:t>
      </w:r>
    </w:p>
    <w:p>
      <w:pPr>
        <w:widowControl/>
        <w:ind w:firstLine="480" w:firstLineChars="200"/>
        <w:rPr>
          <w:rFonts w:ascii="楷体" w:hAnsi="楷体" w:eastAsia="楷体" w:cs="楷体"/>
          <w:sz w:val="24"/>
          <w:szCs w:val="18"/>
          <w:highlight w:val="none"/>
        </w:rPr>
      </w:pPr>
      <w:r>
        <w:rPr>
          <w:rFonts w:hint="eastAsia" w:ascii="楷体" w:hAnsi="楷体" w:eastAsia="楷体" w:cs="楷体"/>
          <w:sz w:val="24"/>
          <w:szCs w:val="18"/>
          <w:highlight w:val="none"/>
        </w:rPr>
        <w:t>2.普通投资者转化为专业投资者</w:t>
      </w:r>
    </w:p>
    <w:p>
      <w:pPr>
        <w:widowControl/>
        <w:ind w:firstLine="480" w:firstLineChars="200"/>
        <w:rPr>
          <w:rFonts w:ascii="楷体" w:hAnsi="楷体" w:eastAsia="楷体" w:cs="楷体"/>
          <w:sz w:val="24"/>
          <w:szCs w:val="18"/>
          <w:highlight w:val="none"/>
        </w:rPr>
      </w:pPr>
      <w:r>
        <w:rPr>
          <w:rFonts w:hint="eastAsia" w:ascii="楷体" w:hAnsi="楷体" w:eastAsia="楷体" w:cs="楷体"/>
          <w:sz w:val="24"/>
          <w:szCs w:val="18"/>
          <w:highlight w:val="none"/>
        </w:rPr>
        <w:t>符合下列条件之一的普通投资者可以申请转化成为专业投资者，但本公司有权自主决定是否同意其转化;</w:t>
      </w:r>
    </w:p>
    <w:p>
      <w:pPr>
        <w:widowControl/>
        <w:ind w:firstLine="480" w:firstLineChars="200"/>
        <w:jc w:val="left"/>
        <w:rPr>
          <w:rFonts w:ascii="楷体" w:hAnsi="楷体" w:eastAsia="楷体" w:cs="楷体"/>
          <w:sz w:val="24"/>
          <w:szCs w:val="18"/>
          <w:highlight w:val="none"/>
        </w:rPr>
      </w:pPr>
      <w:r>
        <w:rPr>
          <w:rFonts w:hint="eastAsia" w:ascii="楷体" w:hAnsi="楷体" w:eastAsia="楷体" w:cs="楷体"/>
          <w:sz w:val="24"/>
          <w:szCs w:val="18"/>
          <w:highlight w:val="none"/>
        </w:rPr>
        <w:t>1、最近1年末净资产不低于1000万元，最近1年末金融资产不低于500万元，且具有1年以上证券、基金、期货、黄金、外汇等投资经历的除专业投资者外的法人或其他组织;</w:t>
      </w:r>
    </w:p>
    <w:p>
      <w:pPr>
        <w:widowControl/>
        <w:ind w:firstLine="480" w:firstLineChars="200"/>
        <w:jc w:val="left"/>
        <w:rPr>
          <w:rFonts w:ascii="楷体" w:hAnsi="楷体" w:eastAsia="楷体" w:cs="楷体"/>
          <w:sz w:val="24"/>
          <w:szCs w:val="18"/>
          <w:highlight w:val="none"/>
        </w:rPr>
      </w:pPr>
      <w:r>
        <w:rPr>
          <w:rFonts w:hint="eastAsia" w:ascii="楷体" w:hAnsi="楷体" w:eastAsia="楷体" w:cs="楷体"/>
          <w:sz w:val="24"/>
          <w:szCs w:val="18"/>
          <w:highlight w:val="none"/>
        </w:rPr>
        <w:t>2、金融资产不低于300万元或者最近3年个人年均收入不低干30万元目具有1年以上证券，基金，期货，黄金，外汇等投资经历或者1年以上金融产品设计，投资，风险管理及相关工作经历的自然人投资者。</w:t>
      </w:r>
    </w:p>
    <w:p>
      <w:pPr>
        <w:widowControl/>
        <w:ind w:firstLine="480" w:firstLineChars="200"/>
        <w:rPr>
          <w:rFonts w:ascii="楷体" w:hAnsi="楷体" w:eastAsia="楷体" w:cs="楷体"/>
          <w:sz w:val="24"/>
          <w:szCs w:val="18"/>
          <w:highlight w:val="none"/>
        </w:rPr>
      </w:pPr>
      <w:r>
        <w:rPr>
          <w:rFonts w:hint="eastAsia" w:ascii="楷体" w:hAnsi="楷体" w:eastAsia="楷体" w:cs="楷体"/>
          <w:sz w:val="24"/>
          <w:szCs w:val="18"/>
          <w:highlight w:val="none"/>
        </w:rPr>
        <w:t>普通投资者申请转化为专业投资者的，应向本公司提交《普通投资者转化为专业投资者申请表》，以书面形式确认自行承担转化后可能产生的风险后果;同时应提交相关证明材料，填写《投资者投资知识测试问卷》及《投资者信息追加调查问卷》。</w:t>
      </w:r>
    </w:p>
    <w:p>
      <w:pPr>
        <w:widowControl/>
        <w:ind w:firstLine="480" w:firstLineChars="200"/>
        <w:rPr>
          <w:rFonts w:ascii="楷体" w:hAnsi="楷体" w:eastAsia="楷体" w:cs="楷体"/>
          <w:sz w:val="24"/>
          <w:szCs w:val="18"/>
          <w:highlight w:val="none"/>
        </w:rPr>
      </w:pPr>
      <w:r>
        <w:rPr>
          <w:rFonts w:hint="eastAsia" w:ascii="楷体" w:hAnsi="楷体" w:eastAsia="楷体" w:cs="楷体"/>
          <w:sz w:val="24"/>
          <w:szCs w:val="18"/>
          <w:highlight w:val="none"/>
        </w:rPr>
        <w:t>本公司经办人员应审核相关证明材料，结合客户《投资者投资知识测试问卷》及《投资者信息追加调查问卷》测评结果，审慎评估是否同意其转化。同意转化的，应向投资者说明对不同类别投资者履行适当性义务的差别，警示可能承担的投资风险，告知申请的审查结果及其理由，并对告知、警示全过程进行录音或录像。</w:t>
      </w:r>
    </w:p>
    <w:p>
      <w:pPr>
        <w:widowControl/>
        <w:ind w:firstLine="482" w:firstLineChars="200"/>
        <w:outlineLvl w:val="1"/>
        <w:rPr>
          <w:rFonts w:ascii="楷体" w:hAnsi="楷体" w:eastAsia="楷体" w:cs="楷体"/>
          <w:b/>
          <w:sz w:val="24"/>
          <w:szCs w:val="18"/>
          <w:highlight w:val="none"/>
        </w:rPr>
      </w:pPr>
      <w:r>
        <w:rPr>
          <w:rFonts w:hint="eastAsia" w:ascii="楷体" w:hAnsi="楷体" w:eastAsia="楷体" w:cs="楷体"/>
          <w:b/>
          <w:sz w:val="24"/>
          <w:szCs w:val="18"/>
          <w:highlight w:val="none"/>
        </w:rPr>
        <w:t>七、服务内容和收费方式</w:t>
      </w:r>
    </w:p>
    <w:p>
      <w:pPr>
        <w:widowControl/>
        <w:ind w:firstLine="482" w:firstLineChars="200"/>
        <w:outlineLvl w:val="2"/>
        <w:rPr>
          <w:rFonts w:ascii="楷体" w:hAnsi="楷体" w:eastAsia="楷体" w:cs="楷体"/>
          <w:b/>
          <w:sz w:val="24"/>
          <w:szCs w:val="18"/>
          <w:highlight w:val="none"/>
        </w:rPr>
      </w:pPr>
      <w:r>
        <w:rPr>
          <w:rFonts w:hint="eastAsia" w:ascii="楷体" w:hAnsi="楷体" w:eastAsia="楷体" w:cs="楷体"/>
          <w:b/>
          <w:sz w:val="24"/>
          <w:szCs w:val="18"/>
          <w:highlight w:val="none"/>
        </w:rPr>
        <w:t>（一）本公司向基金投资人提供以下服务：</w:t>
      </w:r>
    </w:p>
    <w:p>
      <w:pPr>
        <w:widowControl/>
        <w:ind w:firstLine="480" w:firstLineChars="200"/>
        <w:rPr>
          <w:rFonts w:ascii="楷体" w:hAnsi="楷体" w:eastAsia="楷体" w:cs="楷体"/>
          <w:sz w:val="24"/>
          <w:szCs w:val="18"/>
          <w:highlight w:val="none"/>
        </w:rPr>
      </w:pPr>
      <w:r>
        <w:rPr>
          <w:rFonts w:hint="eastAsia" w:ascii="楷体" w:hAnsi="楷体" w:eastAsia="楷体" w:cs="楷体"/>
          <w:sz w:val="24"/>
          <w:szCs w:val="18"/>
          <w:highlight w:val="none"/>
        </w:rPr>
        <w:t>1、对基金投资人的风险承受能力进行调查和评价；</w:t>
      </w:r>
    </w:p>
    <w:p>
      <w:pPr>
        <w:widowControl/>
        <w:ind w:firstLine="480" w:firstLineChars="200"/>
        <w:rPr>
          <w:rFonts w:ascii="楷体" w:hAnsi="楷体" w:eastAsia="楷体" w:cs="楷体"/>
          <w:sz w:val="24"/>
          <w:szCs w:val="18"/>
          <w:highlight w:val="none"/>
        </w:rPr>
      </w:pPr>
      <w:r>
        <w:rPr>
          <w:rFonts w:hint="eastAsia" w:ascii="楷体" w:hAnsi="楷体" w:eastAsia="楷体" w:cs="楷体"/>
          <w:sz w:val="24"/>
          <w:szCs w:val="18"/>
          <w:highlight w:val="none"/>
        </w:rPr>
        <w:t>2、基金销售业务及法律法规许可的相关服务，包括基金（资金）账户开户、基金申（认）购、基金赎回、基金转换（如有）、定额定投（如有）、修改基金分红方式等（具体以《基金交易服务协议》等文件约定为准）。本公司根据每只基金的发行公告及基金管理公司发布的其它相关公告收取相应的申（认）购、赎回费和转换费（如有）；</w:t>
      </w:r>
    </w:p>
    <w:p>
      <w:pPr>
        <w:widowControl/>
        <w:ind w:firstLine="480" w:firstLineChars="200"/>
        <w:rPr>
          <w:rFonts w:ascii="楷体" w:hAnsi="楷体" w:eastAsia="楷体" w:cs="楷体"/>
          <w:sz w:val="24"/>
          <w:szCs w:val="18"/>
          <w:highlight w:val="none"/>
        </w:rPr>
      </w:pPr>
      <w:r>
        <w:rPr>
          <w:rFonts w:hint="eastAsia" w:ascii="楷体" w:hAnsi="楷体" w:eastAsia="楷体" w:cs="楷体"/>
          <w:sz w:val="24"/>
          <w:szCs w:val="18"/>
          <w:highlight w:val="none"/>
        </w:rPr>
        <w:t>3、基金投资人电话号码、联系地址等非重要信息的修改服务。</w:t>
      </w:r>
    </w:p>
    <w:p>
      <w:pPr>
        <w:widowControl/>
        <w:ind w:firstLine="480" w:firstLineChars="200"/>
        <w:rPr>
          <w:rFonts w:ascii="楷体" w:hAnsi="楷体" w:eastAsia="楷体" w:cs="楷体"/>
          <w:sz w:val="24"/>
          <w:szCs w:val="18"/>
          <w:highlight w:val="none"/>
        </w:rPr>
      </w:pPr>
      <w:r>
        <w:rPr>
          <w:rFonts w:hint="eastAsia" w:ascii="楷体" w:hAnsi="楷体" w:eastAsia="楷体" w:cs="楷体"/>
          <w:sz w:val="24"/>
          <w:szCs w:val="18"/>
          <w:highlight w:val="none"/>
        </w:rPr>
        <w:t>4、电话咨询；</w:t>
      </w:r>
    </w:p>
    <w:p>
      <w:pPr>
        <w:widowControl/>
        <w:ind w:firstLine="480" w:firstLineChars="200"/>
        <w:rPr>
          <w:rFonts w:ascii="楷体" w:hAnsi="楷体" w:eastAsia="楷体" w:cs="楷体"/>
          <w:sz w:val="24"/>
          <w:szCs w:val="18"/>
          <w:highlight w:val="none"/>
        </w:rPr>
      </w:pPr>
      <w:r>
        <w:rPr>
          <w:rFonts w:hint="eastAsia" w:ascii="楷体" w:hAnsi="楷体" w:eastAsia="楷体" w:cs="楷体"/>
          <w:sz w:val="24"/>
          <w:szCs w:val="18"/>
          <w:highlight w:val="none"/>
        </w:rPr>
        <w:t>5、基金知识普及和风险教育。</w:t>
      </w:r>
    </w:p>
    <w:p>
      <w:pPr>
        <w:widowControl/>
        <w:ind w:firstLine="482" w:firstLineChars="200"/>
        <w:outlineLvl w:val="2"/>
        <w:rPr>
          <w:rFonts w:ascii="楷体" w:hAnsi="楷体" w:eastAsia="楷体" w:cs="楷体"/>
          <w:b/>
          <w:sz w:val="24"/>
          <w:szCs w:val="18"/>
          <w:highlight w:val="none"/>
        </w:rPr>
      </w:pPr>
      <w:r>
        <w:rPr>
          <w:rFonts w:hint="eastAsia" w:ascii="楷体" w:hAnsi="楷体" w:eastAsia="楷体" w:cs="楷体"/>
          <w:b/>
          <w:sz w:val="24"/>
          <w:szCs w:val="18"/>
          <w:highlight w:val="none"/>
        </w:rPr>
        <w:t>（二）本公司基金业务收费方式：</w:t>
      </w:r>
    </w:p>
    <w:p>
      <w:pPr>
        <w:widowControl/>
        <w:ind w:firstLine="480" w:firstLineChars="200"/>
        <w:rPr>
          <w:rFonts w:ascii="楷体" w:hAnsi="楷体" w:eastAsia="楷体" w:cs="楷体"/>
          <w:sz w:val="24"/>
          <w:szCs w:val="18"/>
          <w:highlight w:val="none"/>
        </w:rPr>
      </w:pPr>
      <w:r>
        <w:rPr>
          <w:rFonts w:hint="eastAsia" w:ascii="楷体" w:hAnsi="楷体" w:eastAsia="楷体" w:cs="楷体"/>
          <w:sz w:val="24"/>
          <w:szCs w:val="18"/>
          <w:highlight w:val="none"/>
        </w:rPr>
        <w:t>本公司根据每只基金的发行公告、《招募说明书》及最新公布的法律法规设置基金的收费方式与费率标准。具体计算方法如下：</w:t>
      </w:r>
    </w:p>
    <w:p>
      <w:pPr>
        <w:widowControl/>
        <w:ind w:firstLine="480" w:firstLineChars="200"/>
        <w:rPr>
          <w:rFonts w:ascii="楷体" w:hAnsi="楷体" w:eastAsia="楷体" w:cs="楷体"/>
          <w:sz w:val="24"/>
          <w:szCs w:val="18"/>
          <w:highlight w:val="none"/>
        </w:rPr>
      </w:pPr>
      <w:r>
        <w:rPr>
          <w:rFonts w:hint="eastAsia" w:ascii="楷体" w:hAnsi="楷体" w:eastAsia="楷体" w:cs="楷体"/>
          <w:sz w:val="24"/>
          <w:szCs w:val="18"/>
          <w:highlight w:val="none"/>
        </w:rPr>
        <w:t>1、认（申）购费</w:t>
      </w:r>
    </w:p>
    <w:p>
      <w:pPr>
        <w:widowControl/>
        <w:ind w:firstLine="480" w:firstLineChars="200"/>
        <w:rPr>
          <w:rFonts w:ascii="楷体" w:hAnsi="楷体" w:eastAsia="楷体" w:cs="楷体"/>
          <w:sz w:val="24"/>
          <w:szCs w:val="18"/>
          <w:highlight w:val="none"/>
        </w:rPr>
      </w:pPr>
      <w:r>
        <w:rPr>
          <w:rFonts w:hint="eastAsia" w:ascii="楷体" w:hAnsi="楷体" w:eastAsia="楷体" w:cs="楷体"/>
          <w:sz w:val="24"/>
          <w:szCs w:val="18"/>
          <w:highlight w:val="none"/>
        </w:rPr>
        <w:t>认（申）购费=认（申）购金额×认（申）购费率（费率标准按照基金管理人要求执行）。</w:t>
      </w:r>
    </w:p>
    <w:p>
      <w:pPr>
        <w:widowControl/>
        <w:ind w:firstLine="480" w:firstLineChars="200"/>
        <w:rPr>
          <w:rFonts w:ascii="楷体" w:hAnsi="楷体" w:eastAsia="楷体" w:cs="楷体"/>
          <w:sz w:val="24"/>
          <w:szCs w:val="18"/>
          <w:highlight w:val="none"/>
        </w:rPr>
      </w:pPr>
      <w:r>
        <w:rPr>
          <w:rFonts w:hint="eastAsia" w:ascii="楷体" w:hAnsi="楷体" w:eastAsia="楷体" w:cs="楷体"/>
          <w:sz w:val="24"/>
          <w:szCs w:val="18"/>
          <w:highlight w:val="none"/>
        </w:rPr>
        <w:t>2、赎回费</w:t>
      </w:r>
    </w:p>
    <w:p>
      <w:pPr>
        <w:widowControl/>
        <w:ind w:firstLine="480" w:firstLineChars="200"/>
        <w:rPr>
          <w:rFonts w:ascii="楷体" w:hAnsi="楷体" w:eastAsia="楷体" w:cs="楷体"/>
          <w:sz w:val="24"/>
          <w:szCs w:val="18"/>
          <w:highlight w:val="none"/>
        </w:rPr>
      </w:pPr>
      <w:r>
        <w:rPr>
          <w:rFonts w:hint="eastAsia" w:ascii="楷体" w:hAnsi="楷体" w:eastAsia="楷体" w:cs="楷体"/>
          <w:sz w:val="24"/>
          <w:szCs w:val="18"/>
          <w:highlight w:val="none"/>
        </w:rPr>
        <w:t>赎回费=赎回份额</w:t>
      </w:r>
      <w:r>
        <w:rPr>
          <w:rFonts w:ascii="楷体" w:hAnsi="楷体" w:eastAsia="楷体" w:cs="楷体"/>
          <w:sz w:val="24"/>
          <w:szCs w:val="18"/>
          <w:highlight w:val="none"/>
        </w:rPr>
        <w:t>×</w:t>
      </w:r>
      <w:r>
        <w:rPr>
          <w:rFonts w:hint="eastAsia" w:ascii="楷体" w:hAnsi="楷体" w:eastAsia="楷体" w:cs="楷体"/>
          <w:sz w:val="24"/>
          <w:szCs w:val="18"/>
          <w:highlight w:val="none"/>
        </w:rPr>
        <w:t>赎回当日基金单位净值</w:t>
      </w:r>
      <w:r>
        <w:rPr>
          <w:rFonts w:ascii="楷体" w:hAnsi="楷体" w:eastAsia="楷体" w:cs="楷体"/>
          <w:sz w:val="24"/>
          <w:szCs w:val="18"/>
          <w:highlight w:val="none"/>
        </w:rPr>
        <w:t>×</w:t>
      </w:r>
      <w:r>
        <w:rPr>
          <w:rFonts w:hint="eastAsia" w:ascii="楷体" w:hAnsi="楷体" w:eastAsia="楷体" w:cs="楷体"/>
          <w:sz w:val="24"/>
          <w:szCs w:val="18"/>
          <w:highlight w:val="none"/>
        </w:rPr>
        <w:t>赎回费率（费率标准按照基金管理人要求执行）</w:t>
      </w:r>
    </w:p>
    <w:p>
      <w:pPr>
        <w:widowControl/>
        <w:ind w:firstLine="482" w:firstLineChars="200"/>
        <w:outlineLvl w:val="1"/>
        <w:rPr>
          <w:rFonts w:ascii="楷体" w:hAnsi="楷体" w:eastAsia="楷体" w:cs="楷体"/>
          <w:b/>
          <w:sz w:val="24"/>
          <w:szCs w:val="18"/>
          <w:highlight w:val="none"/>
        </w:rPr>
      </w:pPr>
      <w:r>
        <w:rPr>
          <w:rFonts w:hint="eastAsia" w:ascii="楷体" w:hAnsi="楷体" w:eastAsia="楷体" w:cs="楷体"/>
          <w:b/>
          <w:sz w:val="24"/>
          <w:szCs w:val="18"/>
          <w:highlight w:val="none"/>
        </w:rPr>
        <w:t>八、投诉处理和联系方式</w:t>
      </w:r>
    </w:p>
    <w:p>
      <w:pPr>
        <w:widowControl/>
        <w:ind w:firstLine="480" w:firstLineChars="200"/>
        <w:rPr>
          <w:rFonts w:ascii="楷体" w:hAnsi="楷体" w:eastAsia="楷体" w:cs="楷体"/>
          <w:sz w:val="24"/>
          <w:szCs w:val="18"/>
          <w:highlight w:val="none"/>
        </w:rPr>
      </w:pPr>
      <w:r>
        <w:rPr>
          <w:rFonts w:hint="eastAsia" w:ascii="楷体" w:hAnsi="楷体" w:eastAsia="楷体" w:cs="楷体"/>
          <w:sz w:val="24"/>
          <w:szCs w:val="18"/>
          <w:highlight w:val="none"/>
        </w:rPr>
        <w:t>（一）投资者可通过拨打本公司全国统一客服热线电话、电子邮件或来访等方式，对营业网点所提供的服务提出建议或投诉。对于工作日受理的投诉，原则上当日回复，不能当日回复的，在3个工作日内回复。对于非工作日受理的投诉，原则上在顺延的第一个工作日回复，不能及时回复的，在3个工作日内回复。本公司具体联系方式如下：</w:t>
      </w:r>
    </w:p>
    <w:p>
      <w:pPr>
        <w:widowControl/>
        <w:ind w:firstLine="480" w:firstLineChars="200"/>
        <w:rPr>
          <w:rFonts w:ascii="楷体" w:hAnsi="楷体" w:eastAsia="楷体" w:cs="楷体"/>
          <w:sz w:val="24"/>
          <w:szCs w:val="18"/>
          <w:highlight w:val="none"/>
        </w:rPr>
      </w:pPr>
      <w:r>
        <w:rPr>
          <w:rFonts w:hint="eastAsia" w:ascii="楷体" w:hAnsi="楷体" w:eastAsia="楷体" w:cs="楷体"/>
          <w:sz w:val="24"/>
          <w:szCs w:val="18"/>
          <w:highlight w:val="none"/>
        </w:rPr>
        <w:t>全国统一客服热线电话：400-886-7799</w:t>
      </w:r>
    </w:p>
    <w:p>
      <w:pPr>
        <w:widowControl/>
        <w:ind w:firstLine="480" w:firstLineChars="200"/>
        <w:rPr>
          <w:rFonts w:ascii="楷体" w:hAnsi="楷体" w:eastAsia="楷体" w:cs="楷体"/>
          <w:sz w:val="24"/>
          <w:szCs w:val="18"/>
          <w:highlight w:val="none"/>
        </w:rPr>
      </w:pPr>
      <w:r>
        <w:rPr>
          <w:rFonts w:hint="eastAsia" w:ascii="楷体" w:hAnsi="楷体" w:eastAsia="楷体" w:cs="楷体"/>
          <w:sz w:val="24"/>
          <w:szCs w:val="18"/>
          <w:highlight w:val="none"/>
        </w:rPr>
        <w:t>电子邮箱地址：yhqh@chinastock.com.cn</w:t>
      </w:r>
    </w:p>
    <w:p>
      <w:pPr>
        <w:widowControl/>
        <w:ind w:firstLine="480" w:firstLineChars="200"/>
        <w:rPr>
          <w:rFonts w:ascii="楷体" w:hAnsi="楷体" w:eastAsia="楷体" w:cs="楷体"/>
          <w:sz w:val="24"/>
          <w:szCs w:val="18"/>
          <w:highlight w:val="none"/>
        </w:rPr>
      </w:pPr>
      <w:r>
        <w:rPr>
          <w:rFonts w:hint="eastAsia" w:ascii="楷体" w:hAnsi="楷体" w:eastAsia="楷体" w:cs="楷体"/>
          <w:sz w:val="24"/>
          <w:szCs w:val="18"/>
          <w:highlight w:val="none"/>
        </w:rPr>
        <w:t>投诉邮箱地址：yhqhservice@chinastock.com.cn</w:t>
      </w:r>
    </w:p>
    <w:p>
      <w:pPr>
        <w:widowControl/>
        <w:ind w:firstLine="480" w:firstLineChars="200"/>
        <w:rPr>
          <w:rFonts w:ascii="楷体" w:hAnsi="楷体" w:eastAsia="楷体" w:cs="楷体"/>
          <w:sz w:val="24"/>
          <w:szCs w:val="18"/>
          <w:highlight w:val="none"/>
        </w:rPr>
      </w:pPr>
      <w:r>
        <w:rPr>
          <w:rFonts w:hint="eastAsia" w:ascii="楷体" w:hAnsi="楷体" w:eastAsia="楷体" w:cs="楷体"/>
          <w:sz w:val="24"/>
          <w:szCs w:val="18"/>
          <w:highlight w:val="none"/>
        </w:rPr>
        <w:t>公司官网：www.yhqh.com.cn</w:t>
      </w:r>
    </w:p>
    <w:p>
      <w:pPr>
        <w:widowControl/>
        <w:ind w:firstLine="480" w:firstLineChars="200"/>
        <w:rPr>
          <w:rFonts w:ascii="楷体" w:hAnsi="楷体" w:eastAsia="楷体" w:cs="楷体"/>
          <w:sz w:val="24"/>
          <w:szCs w:val="18"/>
          <w:highlight w:val="none"/>
        </w:rPr>
      </w:pPr>
      <w:r>
        <w:rPr>
          <w:rFonts w:hint="eastAsia" w:ascii="楷体" w:hAnsi="楷体" w:eastAsia="楷体" w:cs="楷体"/>
          <w:sz w:val="24"/>
          <w:szCs w:val="18"/>
          <w:highlight w:val="none"/>
        </w:rPr>
        <w:t xml:space="preserve">联系地址：北京市朝阳区建国门外大街8号楼31层2702单元31012室、33层2902单元33010室 </w:t>
      </w:r>
    </w:p>
    <w:p>
      <w:pPr>
        <w:widowControl/>
        <w:ind w:firstLine="480" w:firstLineChars="200"/>
        <w:rPr>
          <w:rFonts w:ascii="楷体" w:hAnsi="楷体" w:eastAsia="楷体" w:cs="楷体"/>
          <w:sz w:val="24"/>
          <w:szCs w:val="18"/>
          <w:highlight w:val="none"/>
        </w:rPr>
      </w:pPr>
      <w:r>
        <w:rPr>
          <w:rFonts w:hint="eastAsia" w:ascii="楷体" w:hAnsi="楷体" w:eastAsia="楷体" w:cs="楷体"/>
          <w:sz w:val="24"/>
          <w:szCs w:val="18"/>
          <w:highlight w:val="none"/>
        </w:rPr>
        <w:t>邮编：100020</w:t>
      </w:r>
    </w:p>
    <w:p>
      <w:pPr>
        <w:widowControl/>
        <w:ind w:firstLine="480" w:firstLineChars="200"/>
        <w:rPr>
          <w:rFonts w:ascii="楷体" w:hAnsi="楷体" w:eastAsia="楷体" w:cs="楷体"/>
          <w:sz w:val="24"/>
          <w:szCs w:val="18"/>
          <w:highlight w:val="none"/>
        </w:rPr>
      </w:pPr>
      <w:r>
        <w:rPr>
          <w:rFonts w:hint="eastAsia" w:ascii="楷体" w:hAnsi="楷体" w:eastAsia="楷体" w:cs="楷体"/>
          <w:sz w:val="24"/>
          <w:szCs w:val="18"/>
          <w:highlight w:val="none"/>
        </w:rPr>
        <w:t>（二）基金投资人也可通过书信、传真、电子邮件等方式，向中国证监会和中国证券投资基金业投诉。联系方式如下：</w:t>
      </w:r>
    </w:p>
    <w:p>
      <w:pPr>
        <w:widowControl/>
        <w:ind w:firstLine="480" w:firstLineChars="200"/>
        <w:rPr>
          <w:rFonts w:ascii="楷体" w:hAnsi="楷体" w:eastAsia="楷体" w:cs="楷体"/>
          <w:sz w:val="24"/>
          <w:szCs w:val="18"/>
          <w:highlight w:val="none"/>
        </w:rPr>
      </w:pPr>
      <w:r>
        <w:rPr>
          <w:rFonts w:hint="eastAsia" w:ascii="楷体" w:hAnsi="楷体" w:eastAsia="楷体" w:cs="楷体"/>
          <w:sz w:val="24"/>
          <w:szCs w:val="18"/>
          <w:highlight w:val="none"/>
        </w:rPr>
        <w:t>中国证监会北京监管局：网址：http://</w:t>
      </w:r>
      <w:r>
        <w:rPr>
          <w:highlight w:val="none"/>
        </w:rPr>
        <w:fldChar w:fldCharType="begin"/>
      </w:r>
      <w:r>
        <w:rPr>
          <w:highlight w:val="none"/>
        </w:rPr>
        <w:instrText xml:space="preserve"> HYPERLINK "http://www.csrc.gov.cn/" \t "_blank" </w:instrText>
      </w:r>
      <w:r>
        <w:rPr>
          <w:highlight w:val="none"/>
        </w:rPr>
        <w:fldChar w:fldCharType="separate"/>
      </w:r>
      <w:r>
        <w:rPr>
          <w:rFonts w:hint="eastAsia" w:ascii="楷体" w:hAnsi="楷体" w:eastAsia="楷体" w:cs="楷体"/>
          <w:sz w:val="24"/>
          <w:szCs w:val="18"/>
          <w:highlight w:val="none"/>
        </w:rPr>
        <w:t>www.csrc.gov.cn</w:t>
      </w:r>
      <w:r>
        <w:rPr>
          <w:rFonts w:hint="eastAsia" w:ascii="楷体" w:hAnsi="楷体" w:eastAsia="楷体" w:cs="楷体"/>
          <w:sz w:val="24"/>
          <w:szCs w:val="18"/>
          <w:highlight w:val="none"/>
        </w:rPr>
        <w:fldChar w:fldCharType="end"/>
      </w:r>
      <w:r>
        <w:rPr>
          <w:rFonts w:hint="eastAsia" w:ascii="楷体" w:hAnsi="楷体" w:eastAsia="楷体" w:cs="楷体"/>
          <w:sz w:val="24"/>
          <w:szCs w:val="18"/>
          <w:highlight w:val="none"/>
        </w:rPr>
        <w:t>，联系电话：010-88088060，传真：010-88088012，地址：办公地址：北京市西城区金融大街26号金阳大厦6层，邮政编码：100033。</w:t>
      </w:r>
    </w:p>
    <w:p>
      <w:pPr>
        <w:widowControl/>
        <w:ind w:firstLine="480" w:firstLineChars="200"/>
        <w:rPr>
          <w:rFonts w:ascii="楷体" w:hAnsi="楷体" w:eastAsia="楷体" w:cs="楷体"/>
          <w:sz w:val="24"/>
          <w:szCs w:val="18"/>
          <w:highlight w:val="none"/>
        </w:rPr>
      </w:pPr>
      <w:r>
        <w:rPr>
          <w:rFonts w:hint="eastAsia" w:ascii="楷体" w:hAnsi="楷体" w:eastAsia="楷体" w:cs="楷体"/>
          <w:sz w:val="24"/>
          <w:szCs w:val="18"/>
          <w:highlight w:val="none"/>
        </w:rPr>
        <w:t>中国证券投资基金业协会：网址：http://</w:t>
      </w:r>
      <w:r>
        <w:rPr>
          <w:highlight w:val="none"/>
        </w:rPr>
        <w:fldChar w:fldCharType="begin"/>
      </w:r>
      <w:r>
        <w:rPr>
          <w:highlight w:val="none"/>
        </w:rPr>
        <w:instrText xml:space="preserve"> HYPERLINK "http://www.amac.org.cn/" </w:instrText>
      </w:r>
      <w:r>
        <w:rPr>
          <w:highlight w:val="none"/>
        </w:rPr>
        <w:fldChar w:fldCharType="separate"/>
      </w:r>
      <w:r>
        <w:rPr>
          <w:rFonts w:hint="eastAsia" w:ascii="楷体" w:hAnsi="楷体" w:eastAsia="楷体" w:cs="楷体"/>
          <w:sz w:val="24"/>
          <w:szCs w:val="18"/>
          <w:highlight w:val="none"/>
        </w:rPr>
        <w:t>www.amac.org.cn</w:t>
      </w:r>
      <w:r>
        <w:rPr>
          <w:rFonts w:hint="eastAsia" w:ascii="楷体" w:hAnsi="楷体" w:eastAsia="楷体" w:cs="楷体"/>
          <w:sz w:val="24"/>
          <w:szCs w:val="18"/>
          <w:highlight w:val="none"/>
        </w:rPr>
        <w:fldChar w:fldCharType="end"/>
      </w:r>
      <w:r>
        <w:rPr>
          <w:rFonts w:hint="eastAsia" w:ascii="楷体" w:hAnsi="楷体" w:eastAsia="楷体" w:cs="楷体"/>
          <w:sz w:val="24"/>
          <w:szCs w:val="18"/>
          <w:highlight w:val="none"/>
        </w:rPr>
        <w:t>，电子邮箱</w:t>
      </w:r>
      <w:r>
        <w:rPr>
          <w:highlight w:val="none"/>
        </w:rPr>
        <w:fldChar w:fldCharType="begin"/>
      </w:r>
      <w:r>
        <w:rPr>
          <w:highlight w:val="none"/>
        </w:rPr>
        <w:instrText xml:space="preserve"> HYPERLINK "mailto:tousu@amac.org.cn" </w:instrText>
      </w:r>
      <w:r>
        <w:rPr>
          <w:highlight w:val="none"/>
        </w:rPr>
        <w:fldChar w:fldCharType="separate"/>
      </w:r>
      <w:r>
        <w:rPr>
          <w:rFonts w:hint="eastAsia" w:ascii="楷体" w:hAnsi="楷体" w:eastAsia="楷体" w:cs="楷体"/>
          <w:sz w:val="24"/>
          <w:szCs w:val="18"/>
          <w:highlight w:val="none"/>
        </w:rPr>
        <w:t>tousu@amac.org.cn</w:t>
      </w:r>
      <w:r>
        <w:rPr>
          <w:rFonts w:hint="eastAsia" w:ascii="楷体" w:hAnsi="楷体" w:eastAsia="楷体" w:cs="楷体"/>
          <w:sz w:val="24"/>
          <w:szCs w:val="18"/>
          <w:highlight w:val="none"/>
        </w:rPr>
        <w:fldChar w:fldCharType="end"/>
      </w:r>
      <w:r>
        <w:rPr>
          <w:rFonts w:hint="eastAsia" w:ascii="楷体" w:hAnsi="楷体" w:eastAsia="楷体" w:cs="楷体"/>
          <w:sz w:val="24"/>
          <w:szCs w:val="18"/>
          <w:highlight w:val="none"/>
        </w:rPr>
        <w:t>，地址：北京市西城区金融大街22号交通银行大厦B座9层，邮编：100033电话：010-58352888（中国证券投资者呼叫中心）、www.sipf.com(中国证券投资者保护网)。</w:t>
      </w:r>
    </w:p>
    <w:p>
      <w:pPr>
        <w:widowControl/>
        <w:ind w:firstLine="480" w:firstLineChars="200"/>
        <w:rPr>
          <w:rFonts w:ascii="楷体" w:hAnsi="楷体" w:eastAsia="楷体" w:cs="楷体"/>
          <w:sz w:val="24"/>
          <w:szCs w:val="18"/>
          <w:highlight w:val="none"/>
        </w:rPr>
      </w:pPr>
      <w:r>
        <w:rPr>
          <w:rFonts w:hint="eastAsia" w:ascii="楷体" w:hAnsi="楷体" w:eastAsia="楷体" w:cs="楷体"/>
          <w:sz w:val="24"/>
          <w:szCs w:val="18"/>
          <w:highlight w:val="none"/>
        </w:rPr>
        <w:t>中国证券投资者保护基金有限责任公司：网址：http://</w:t>
      </w:r>
      <w:r>
        <w:rPr>
          <w:highlight w:val="none"/>
        </w:rPr>
        <w:fldChar w:fldCharType="begin"/>
      </w:r>
      <w:r>
        <w:rPr>
          <w:highlight w:val="none"/>
        </w:rPr>
        <w:instrText xml:space="preserve"> HYPERLINK "http://www.sipf.com/" \t "_blank" </w:instrText>
      </w:r>
      <w:r>
        <w:rPr>
          <w:highlight w:val="none"/>
        </w:rPr>
        <w:fldChar w:fldCharType="separate"/>
      </w:r>
      <w:r>
        <w:rPr>
          <w:rFonts w:hint="eastAsia" w:ascii="楷体" w:hAnsi="楷体" w:eastAsia="楷体" w:cs="楷体"/>
          <w:sz w:val="24"/>
          <w:szCs w:val="18"/>
          <w:highlight w:val="none"/>
        </w:rPr>
        <w:t>www.sipf.com</w:t>
      </w:r>
      <w:r>
        <w:rPr>
          <w:rFonts w:hint="eastAsia" w:ascii="楷体" w:hAnsi="楷体" w:eastAsia="楷体" w:cs="楷体"/>
          <w:sz w:val="24"/>
          <w:szCs w:val="18"/>
          <w:highlight w:val="none"/>
        </w:rPr>
        <w:fldChar w:fldCharType="end"/>
      </w:r>
      <w:r>
        <w:rPr>
          <w:rFonts w:hint="eastAsia" w:ascii="楷体" w:hAnsi="楷体" w:eastAsia="楷体" w:cs="楷体"/>
          <w:sz w:val="24"/>
          <w:szCs w:val="18"/>
          <w:highlight w:val="none"/>
        </w:rPr>
        <w:t>.Cn/，联系电话：010-66580883，投资者热线：12386，地址：北京西城区金融大街5号新盛大厦B座22层，邮编：100033</w:t>
      </w:r>
    </w:p>
    <w:p>
      <w:pPr>
        <w:widowControl/>
        <w:ind w:firstLine="480" w:firstLineChars="200"/>
        <w:rPr>
          <w:rFonts w:ascii="楷体" w:hAnsi="楷体" w:eastAsia="楷体" w:cs="楷体"/>
          <w:sz w:val="24"/>
          <w:szCs w:val="18"/>
          <w:highlight w:val="none"/>
        </w:rPr>
      </w:pPr>
      <w:r>
        <w:rPr>
          <w:rFonts w:hint="eastAsia" w:ascii="楷体" w:hAnsi="楷体" w:eastAsia="楷体" w:cs="楷体"/>
          <w:sz w:val="24"/>
          <w:szCs w:val="18"/>
          <w:highlight w:val="none"/>
        </w:rPr>
        <w:t>因基金合同而产生的或与基金合同有关的一切争议，如经协商或调解不能解决的，投资人可提交中国国际经济贸易仲裁委员会根据当时有效的仲裁规则进行仲裁。仲裁地点为基金合同约定的地点。仲裁裁决是终局的，对各方当事人均有约束力。</w:t>
      </w:r>
    </w:p>
    <w:p>
      <w:pPr>
        <w:widowControl/>
        <w:ind w:firstLine="482" w:firstLineChars="200"/>
        <w:outlineLvl w:val="1"/>
        <w:rPr>
          <w:rFonts w:ascii="楷体" w:hAnsi="楷体" w:eastAsia="楷体" w:cs="楷体"/>
          <w:b/>
          <w:sz w:val="24"/>
          <w:szCs w:val="18"/>
          <w:highlight w:val="none"/>
        </w:rPr>
      </w:pPr>
      <w:r>
        <w:rPr>
          <w:rFonts w:hint="eastAsia" w:ascii="楷体" w:hAnsi="楷体" w:eastAsia="楷体" w:cs="楷体"/>
          <w:b/>
          <w:sz w:val="24"/>
          <w:szCs w:val="18"/>
          <w:highlight w:val="none"/>
        </w:rPr>
        <w:t>九、关于核实本公司基金销售资质</w:t>
      </w:r>
    </w:p>
    <w:p>
      <w:pPr>
        <w:widowControl/>
        <w:ind w:firstLine="480" w:firstLineChars="200"/>
        <w:rPr>
          <w:rFonts w:ascii="楷体" w:hAnsi="楷体" w:eastAsia="楷体" w:cs="楷体"/>
          <w:sz w:val="24"/>
          <w:szCs w:val="18"/>
          <w:highlight w:val="none"/>
        </w:rPr>
      </w:pPr>
      <w:r>
        <w:rPr>
          <w:rFonts w:hint="eastAsia" w:ascii="楷体" w:hAnsi="楷体" w:eastAsia="楷体" w:cs="楷体"/>
          <w:sz w:val="24"/>
          <w:szCs w:val="18"/>
          <w:highlight w:val="none"/>
        </w:rPr>
        <w:t>投资人可登录中国证监会网站（</w:t>
      </w:r>
      <w:r>
        <w:rPr>
          <w:highlight w:val="none"/>
        </w:rPr>
        <w:fldChar w:fldCharType="begin"/>
      </w:r>
      <w:r>
        <w:rPr>
          <w:highlight w:val="none"/>
        </w:rPr>
        <w:instrText xml:space="preserve"> HYPERLINK "http://www.csrc.gov.cn/" \t "_blank" </w:instrText>
      </w:r>
      <w:r>
        <w:rPr>
          <w:highlight w:val="none"/>
        </w:rPr>
        <w:fldChar w:fldCharType="separate"/>
      </w:r>
      <w:r>
        <w:rPr>
          <w:rFonts w:hint="eastAsia" w:ascii="楷体" w:hAnsi="楷体" w:eastAsia="楷体" w:cs="楷体"/>
          <w:sz w:val="24"/>
          <w:szCs w:val="18"/>
          <w:highlight w:val="none"/>
        </w:rPr>
        <w:t>www.csrc.gov.cn</w:t>
      </w:r>
      <w:r>
        <w:rPr>
          <w:rFonts w:hint="eastAsia" w:ascii="楷体" w:hAnsi="楷体" w:eastAsia="楷体" w:cs="楷体"/>
          <w:sz w:val="24"/>
          <w:szCs w:val="18"/>
          <w:highlight w:val="none"/>
        </w:rPr>
        <w:fldChar w:fldCharType="end"/>
      </w:r>
      <w:r>
        <w:rPr>
          <w:rFonts w:hint="eastAsia" w:ascii="楷体" w:hAnsi="楷体" w:eastAsia="楷体" w:cs="楷体"/>
          <w:sz w:val="24"/>
          <w:szCs w:val="18"/>
          <w:highlight w:val="none"/>
        </w:rPr>
        <w:t>）查询基金销售机构名录，核实本公司基金销售资格。</w:t>
      </w:r>
    </w:p>
    <w:p>
      <w:pPr>
        <w:widowControl/>
        <w:ind w:firstLine="480" w:firstLineChars="200"/>
        <w:rPr>
          <w:rFonts w:ascii="楷体" w:hAnsi="楷体" w:eastAsia="楷体" w:cs="楷体"/>
          <w:sz w:val="24"/>
          <w:szCs w:val="18"/>
          <w:highlight w:val="none"/>
        </w:rPr>
      </w:pPr>
      <w:r>
        <w:rPr>
          <w:rFonts w:hint="eastAsia" w:ascii="楷体" w:hAnsi="楷体" w:eastAsia="楷体" w:cs="楷体"/>
          <w:sz w:val="24"/>
          <w:szCs w:val="18"/>
          <w:highlight w:val="none"/>
        </w:rPr>
        <w:t>基金销售机构名称：银河期货有限公司</w:t>
      </w:r>
    </w:p>
    <w:p>
      <w:pPr>
        <w:widowControl/>
        <w:ind w:firstLine="480" w:firstLineChars="200"/>
        <w:rPr>
          <w:rFonts w:ascii="楷体" w:hAnsi="楷体" w:eastAsia="楷体" w:cs="楷体"/>
          <w:sz w:val="24"/>
          <w:szCs w:val="18"/>
          <w:highlight w:val="none"/>
        </w:rPr>
      </w:pPr>
      <w:r>
        <w:rPr>
          <w:rFonts w:hint="eastAsia" w:ascii="楷体" w:hAnsi="楷体" w:eastAsia="楷体" w:cs="楷体"/>
          <w:sz w:val="24"/>
          <w:szCs w:val="18"/>
          <w:highlight w:val="none"/>
        </w:rPr>
        <w:t>客户服务统一热线：400-886-7799</w:t>
      </w:r>
    </w:p>
    <w:p>
      <w:pPr>
        <w:widowControl/>
        <w:ind w:firstLine="480" w:firstLineChars="200"/>
        <w:rPr>
          <w:rFonts w:ascii="楷体" w:hAnsi="楷体" w:eastAsia="楷体" w:cs="楷体"/>
          <w:sz w:val="24"/>
          <w:szCs w:val="18"/>
          <w:highlight w:val="none"/>
        </w:rPr>
      </w:pPr>
      <w:r>
        <w:rPr>
          <w:rFonts w:hint="eastAsia" w:ascii="楷体" w:hAnsi="楷体" w:eastAsia="楷体" w:cs="楷体"/>
          <w:sz w:val="24"/>
          <w:szCs w:val="18"/>
          <w:highlight w:val="none"/>
        </w:rPr>
        <w:t>网址：www.yhqh.com.cn</w:t>
      </w:r>
    </w:p>
    <w:p>
      <w:pPr>
        <w:widowControl/>
        <w:ind w:firstLine="480" w:firstLineChars="200"/>
        <w:rPr>
          <w:rFonts w:hint="eastAsia" w:ascii="楷体" w:hAnsi="楷体" w:eastAsia="楷体" w:cs="楷体"/>
          <w:sz w:val="24"/>
          <w:szCs w:val="18"/>
          <w:highlight w:val="none"/>
        </w:rPr>
      </w:pPr>
      <w:r>
        <w:rPr>
          <w:rFonts w:hint="eastAsia" w:ascii="楷体" w:hAnsi="楷体" w:eastAsia="楷体" w:cs="楷体"/>
          <w:sz w:val="24"/>
          <w:szCs w:val="18"/>
          <w:highlight w:val="none"/>
        </w:rPr>
        <w:t xml:space="preserve">地址：北京市朝阳区建国门外大街8号楼31层2702单元31012室、33层2902单元33010室 </w:t>
      </w:r>
    </w:p>
    <w:p>
      <w:pPr>
        <w:widowControl/>
        <w:ind w:firstLine="482" w:firstLineChars="200"/>
        <w:outlineLvl w:val="1"/>
        <w:rPr>
          <w:rFonts w:ascii="楷体" w:hAnsi="楷体" w:eastAsia="楷体" w:cs="楷体"/>
          <w:b/>
          <w:sz w:val="24"/>
          <w:szCs w:val="18"/>
          <w:highlight w:val="none"/>
        </w:rPr>
      </w:pPr>
      <w:r>
        <w:rPr>
          <w:rFonts w:hint="eastAsia" w:ascii="楷体" w:hAnsi="楷体" w:eastAsia="楷体" w:cs="楷体"/>
          <w:b/>
          <w:sz w:val="24"/>
          <w:szCs w:val="18"/>
          <w:highlight w:val="none"/>
        </w:rPr>
        <w:t>十、投资风险提示</w:t>
      </w:r>
    </w:p>
    <w:p>
      <w:pPr>
        <w:widowControl/>
        <w:ind w:firstLine="482" w:firstLineChars="200"/>
        <w:rPr>
          <w:rFonts w:ascii="楷体" w:hAnsi="楷体" w:eastAsia="楷体" w:cs="楷体"/>
          <w:b/>
          <w:bCs/>
          <w:sz w:val="24"/>
          <w:szCs w:val="18"/>
          <w:highlight w:val="none"/>
        </w:rPr>
      </w:pPr>
      <w:r>
        <w:rPr>
          <w:rFonts w:hint="eastAsia" w:ascii="楷体" w:hAnsi="楷体" w:eastAsia="楷体" w:cs="楷体"/>
          <w:b/>
          <w:bCs/>
          <w:sz w:val="24"/>
          <w:szCs w:val="18"/>
          <w:highlight w:val="none"/>
        </w:rPr>
        <w:t>投资人在投资基金前应认真阅读《基金风险揭示及售前告知书》</w:t>
      </w:r>
      <w:r>
        <w:rPr>
          <w:rFonts w:hint="eastAsia" w:ascii="楷体" w:hAnsi="楷体" w:eastAsia="楷体" w:cs="楷体"/>
          <w:b/>
          <w:bCs/>
          <w:sz w:val="24"/>
          <w:szCs w:val="18"/>
          <w:highlight w:val="none"/>
          <w:lang w:eastAsia="zh-CN"/>
        </w:rPr>
        <w:t>、</w:t>
      </w:r>
      <w:r>
        <w:rPr>
          <w:rFonts w:hint="eastAsia" w:ascii="楷体" w:hAnsi="楷体" w:eastAsia="楷体" w:cs="楷体"/>
          <w:b/>
          <w:bCs/>
          <w:sz w:val="24"/>
          <w:szCs w:val="18"/>
          <w:highlight w:val="none"/>
        </w:rPr>
        <w:t>《基金合同》、《招募说明书》等基金法律文件，选择与自身风险承受能力相匹配的基金产品。因基金产品设计、运营或管理人提供的信息不真实、不准确、不完整而产生的责任由管理人承担，本公司不承担由此产生的任何责任。本公司承诺投资人利益优先，以诚实信用、勤勉尽责的态度为投资人提供服务，本公司不保证、不承诺投资人投资的基金产品盈利，不保证、不承诺基金产品的最低收益。</w:t>
      </w:r>
    </w:p>
    <w:p>
      <w:pPr>
        <w:widowControl/>
        <w:ind w:firstLine="482" w:firstLineChars="200"/>
        <w:rPr>
          <w:rFonts w:ascii="楷体" w:hAnsi="楷体" w:eastAsia="楷体" w:cs="楷体"/>
          <w:b/>
          <w:bCs/>
          <w:sz w:val="24"/>
          <w:szCs w:val="18"/>
          <w:highlight w:val="none"/>
        </w:rPr>
      </w:pPr>
      <w:r>
        <w:rPr>
          <w:rFonts w:hint="eastAsia" w:ascii="楷体" w:hAnsi="楷体" w:eastAsia="楷体" w:cs="楷体"/>
          <w:b/>
          <w:bCs/>
          <w:sz w:val="24"/>
          <w:szCs w:val="18"/>
          <w:highlight w:val="none"/>
        </w:rPr>
        <w:t>投资者可以登录中国证券投资基金业协会指定的私募基金信息披露备份平台，进行私募基金产品信息查询。</w:t>
      </w:r>
    </w:p>
    <w:p>
      <w:pPr>
        <w:widowControl/>
        <w:ind w:firstLine="482" w:firstLineChars="200"/>
        <w:rPr>
          <w:rFonts w:ascii="楷体" w:hAnsi="楷体" w:eastAsia="楷体" w:cs="楷体"/>
          <w:b/>
          <w:bCs/>
          <w:sz w:val="24"/>
          <w:szCs w:val="18"/>
          <w:highlight w:val="none"/>
        </w:rPr>
      </w:pPr>
      <w:r>
        <w:rPr>
          <w:rFonts w:hint="eastAsia" w:ascii="楷体" w:hAnsi="楷体" w:eastAsia="楷体" w:cs="楷体"/>
          <w:b/>
          <w:bCs/>
          <w:sz w:val="24"/>
          <w:szCs w:val="18"/>
          <w:highlight w:val="none"/>
        </w:rPr>
        <w:t>关于基金（下称“证券投资资金”或“基金”）投资，本公司特提示风险如下：</w:t>
      </w:r>
    </w:p>
    <w:p>
      <w:pPr>
        <w:widowControl/>
        <w:ind w:firstLine="480" w:firstLineChars="200"/>
        <w:rPr>
          <w:rFonts w:ascii="楷体" w:hAnsi="楷体" w:eastAsia="楷体" w:cs="楷体"/>
          <w:sz w:val="24"/>
          <w:szCs w:val="18"/>
          <w:highlight w:val="none"/>
        </w:rPr>
      </w:pPr>
      <w:r>
        <w:rPr>
          <w:rFonts w:hint="eastAsia" w:ascii="楷体" w:hAnsi="楷体" w:eastAsia="楷体" w:cs="楷体"/>
          <w:sz w:val="24"/>
          <w:szCs w:val="18"/>
          <w:highlight w:val="none"/>
        </w:rPr>
        <w:t>（一）证券投资基金是一种</w:t>
      </w:r>
      <w:r>
        <w:rPr>
          <w:rFonts w:hint="eastAsia" w:ascii="楷体" w:hAnsi="楷体" w:eastAsia="楷体" w:cs="楷体"/>
          <w:spacing w:val="9"/>
          <w:sz w:val="23"/>
          <w:szCs w:val="23"/>
          <w:lang w:val="en-US" w:eastAsia="zh-CN"/>
        </w:rPr>
        <w:t>理财</w:t>
      </w:r>
      <w:r>
        <w:rPr>
          <w:rFonts w:hint="eastAsia" w:ascii="楷体" w:hAnsi="楷体" w:eastAsia="楷体" w:cs="楷体"/>
          <w:sz w:val="24"/>
          <w:szCs w:val="18"/>
          <w:highlight w:val="none"/>
        </w:rPr>
        <w:t>工具，其主要功能是分散投资，降低投资单一证券所带来的个别风险。基金不同于银行储蓄和债券等能够提供固定收益预期的金融工具，投资人购买基金，既可能按其持有份额分享基金投资所产生的收益，也可能承担基金投资所带来的损失。</w:t>
      </w:r>
    </w:p>
    <w:p>
      <w:pPr>
        <w:widowControl/>
        <w:ind w:firstLine="480" w:firstLineChars="200"/>
        <w:rPr>
          <w:rFonts w:ascii="楷体" w:hAnsi="楷体" w:eastAsia="楷体" w:cs="楷体"/>
          <w:sz w:val="24"/>
          <w:szCs w:val="18"/>
          <w:highlight w:val="none"/>
        </w:rPr>
      </w:pPr>
      <w:r>
        <w:rPr>
          <w:rFonts w:hint="eastAsia" w:ascii="楷体" w:hAnsi="楷体" w:eastAsia="楷体" w:cs="楷体"/>
          <w:sz w:val="24"/>
          <w:szCs w:val="18"/>
          <w:highlight w:val="none"/>
        </w:rPr>
        <w:t>（二）基金在投资运作过程中可能面临各种风险，既包括市场风险，也包括基金自身的管理风险、技术风险和合规风险等。巨额赎回风险是开放式基金所特有的一种风险，即当单个交易日基金的净赎回申请超过基金总份额的百分之十时，投资人将可能无法及时赎回持有的全部基金份额。</w:t>
      </w:r>
    </w:p>
    <w:p>
      <w:pPr>
        <w:widowControl/>
        <w:ind w:firstLine="480" w:firstLineChars="200"/>
        <w:rPr>
          <w:rFonts w:ascii="楷体" w:hAnsi="楷体" w:eastAsia="楷体" w:cs="楷体"/>
          <w:sz w:val="24"/>
          <w:szCs w:val="18"/>
          <w:highlight w:val="none"/>
        </w:rPr>
      </w:pPr>
      <w:r>
        <w:rPr>
          <w:rFonts w:hint="eastAsia" w:ascii="楷体" w:hAnsi="楷体" w:eastAsia="楷体" w:cs="楷体"/>
          <w:sz w:val="24"/>
          <w:szCs w:val="18"/>
          <w:highlight w:val="none"/>
        </w:rPr>
        <w:t>（三）基金投资人应当充分了解基金定期定额投资和零存整取等储蓄方式的区别。定期定额投资是引导投资人进行长期投资、平均投资成本的一种简单易行的投资方式，但并不能规避基金投资所固有的风险，不能保证投资人获得收益，也不是替代储蓄的等效理财方式。</w:t>
      </w:r>
    </w:p>
    <w:p>
      <w:pPr>
        <w:widowControl/>
        <w:ind w:firstLine="480" w:firstLineChars="200"/>
        <w:rPr>
          <w:rFonts w:ascii="楷体" w:hAnsi="楷体" w:eastAsia="楷体" w:cs="楷体"/>
          <w:sz w:val="24"/>
          <w:szCs w:val="18"/>
          <w:highlight w:val="none"/>
        </w:rPr>
      </w:pPr>
      <w:r>
        <w:rPr>
          <w:rFonts w:hint="eastAsia" w:ascii="楷体" w:hAnsi="楷体" w:eastAsia="楷体" w:cs="楷体"/>
          <w:sz w:val="24"/>
          <w:szCs w:val="18"/>
          <w:highlight w:val="none"/>
        </w:rPr>
        <w:t>（四）基金管理人承诺以诚实守信、勤勉尽责的原则管理和运用基金资产，但不保证旗下基金一定盈利，也不保证最低收益。旗下基金的过往业绩及其净值高低并不预示其未来业绩表现。基金管理人提醒投资人基金投资的“买者自负”原则，在做出投资决策后，基金运营状况与基金净值变化引致的投资风险，由投资人自行负担。</w:t>
      </w:r>
    </w:p>
    <w:p>
      <w:pPr>
        <w:widowControl/>
        <w:ind w:firstLine="480" w:firstLineChars="200"/>
        <w:rPr>
          <w:rFonts w:ascii="楷体" w:hAnsi="楷体" w:eastAsia="楷体" w:cs="楷体"/>
          <w:sz w:val="24"/>
          <w:szCs w:val="18"/>
          <w:highlight w:val="none"/>
        </w:rPr>
      </w:pPr>
      <w:r>
        <w:rPr>
          <w:rFonts w:hint="eastAsia" w:ascii="楷体" w:hAnsi="楷体" w:eastAsia="楷体" w:cs="楷体"/>
          <w:sz w:val="24"/>
          <w:szCs w:val="18"/>
          <w:highlight w:val="none"/>
        </w:rPr>
        <w:t>（五）</w:t>
      </w:r>
      <w:r>
        <w:rPr>
          <w:rFonts w:hint="eastAsia" w:ascii="楷体" w:hAnsi="楷体" w:eastAsia="楷体" w:cs="楷体"/>
          <w:b/>
          <w:sz w:val="24"/>
          <w:szCs w:val="18"/>
          <w:highlight w:val="none"/>
        </w:rPr>
        <w:t>本公司将依法通过法律法规许可的方式对基金投资人的风险承受能力进行调查和评价，在符合基金投资人本人意愿的前提下，根据基金投资人的风险承受能力推荐与其风险承受能力相匹配的基金产品，但本公司所做的推荐仅供投资人作为投资参考，基金投资人应根据自身风险承受能力选择基金产品并自行承担投资风险</w:t>
      </w:r>
      <w:r>
        <w:rPr>
          <w:rFonts w:hint="eastAsia" w:ascii="楷体" w:hAnsi="楷体" w:eastAsia="楷体" w:cs="楷体"/>
          <w:sz w:val="24"/>
          <w:szCs w:val="18"/>
          <w:highlight w:val="none"/>
        </w:rPr>
        <w:t>。</w:t>
      </w:r>
    </w:p>
    <w:p>
      <w:pPr>
        <w:widowControl/>
        <w:ind w:firstLine="480" w:firstLineChars="200"/>
        <w:jc w:val="left"/>
        <w:rPr>
          <w:rFonts w:ascii="楷体" w:hAnsi="楷体" w:eastAsia="楷体" w:cs="楷体"/>
          <w:sz w:val="24"/>
          <w:szCs w:val="18"/>
          <w:highlight w:val="none"/>
        </w:rPr>
      </w:pPr>
      <w:r>
        <w:rPr>
          <w:rFonts w:hint="eastAsia" w:ascii="楷体" w:hAnsi="楷体" w:eastAsia="楷体" w:cs="楷体"/>
          <w:sz w:val="24"/>
          <w:szCs w:val="18"/>
          <w:highlight w:val="none"/>
        </w:rPr>
        <w:t>（六）普通投资者在购买基金产品前，应当注意以下信息：</w:t>
      </w:r>
    </w:p>
    <w:p>
      <w:pPr>
        <w:widowControl/>
        <w:ind w:firstLine="480" w:firstLineChars="200"/>
        <w:jc w:val="left"/>
        <w:rPr>
          <w:rFonts w:ascii="楷体" w:hAnsi="楷体" w:eastAsia="楷体" w:cs="楷体"/>
          <w:sz w:val="24"/>
          <w:szCs w:val="18"/>
          <w:highlight w:val="none"/>
        </w:rPr>
      </w:pPr>
      <w:r>
        <w:rPr>
          <w:rFonts w:hint="eastAsia" w:ascii="楷体" w:hAnsi="楷体" w:eastAsia="楷体" w:cs="楷体"/>
          <w:sz w:val="24"/>
          <w:szCs w:val="18"/>
          <w:highlight w:val="none"/>
        </w:rPr>
        <w:t>1、可能直接导致本金亏损的事项；</w:t>
      </w:r>
    </w:p>
    <w:p>
      <w:pPr>
        <w:widowControl/>
        <w:ind w:firstLine="480" w:firstLineChars="200"/>
        <w:jc w:val="left"/>
        <w:rPr>
          <w:rFonts w:ascii="楷体" w:hAnsi="楷体" w:eastAsia="楷体" w:cs="楷体"/>
          <w:sz w:val="24"/>
          <w:szCs w:val="18"/>
          <w:highlight w:val="none"/>
        </w:rPr>
      </w:pPr>
      <w:r>
        <w:rPr>
          <w:rFonts w:hint="eastAsia" w:ascii="楷体" w:hAnsi="楷体" w:eastAsia="楷体" w:cs="楷体"/>
          <w:sz w:val="24"/>
          <w:szCs w:val="18"/>
          <w:highlight w:val="none"/>
        </w:rPr>
        <w:t>2、可能直接导致超过原始本金损失的事项；</w:t>
      </w:r>
    </w:p>
    <w:p>
      <w:pPr>
        <w:widowControl/>
        <w:ind w:firstLine="480" w:firstLineChars="200"/>
        <w:jc w:val="left"/>
        <w:rPr>
          <w:rFonts w:ascii="楷体" w:hAnsi="楷体" w:eastAsia="楷体" w:cs="楷体"/>
          <w:sz w:val="24"/>
          <w:szCs w:val="18"/>
          <w:highlight w:val="none"/>
        </w:rPr>
      </w:pPr>
      <w:r>
        <w:rPr>
          <w:rFonts w:hint="eastAsia" w:ascii="楷体" w:hAnsi="楷体" w:eastAsia="楷体" w:cs="楷体"/>
          <w:sz w:val="24"/>
          <w:szCs w:val="18"/>
          <w:highlight w:val="none"/>
        </w:rPr>
        <w:t>3、因经营机构的业务或者财产状况变化，可能导致本金或者原始本金亏损的事项；</w:t>
      </w:r>
    </w:p>
    <w:p>
      <w:pPr>
        <w:widowControl/>
        <w:ind w:firstLine="480" w:firstLineChars="200"/>
        <w:jc w:val="left"/>
        <w:rPr>
          <w:rFonts w:ascii="楷体" w:hAnsi="楷体" w:eastAsia="楷体" w:cs="楷体"/>
          <w:sz w:val="24"/>
          <w:szCs w:val="18"/>
          <w:highlight w:val="none"/>
        </w:rPr>
      </w:pPr>
      <w:r>
        <w:rPr>
          <w:rFonts w:hint="eastAsia" w:ascii="楷体" w:hAnsi="楷体" w:eastAsia="楷体" w:cs="楷体"/>
          <w:sz w:val="24"/>
          <w:szCs w:val="18"/>
          <w:highlight w:val="none"/>
        </w:rPr>
        <w:t>4、因经营机构的业务或者财产状况变化，影响投资者判断的重要事由；</w:t>
      </w:r>
    </w:p>
    <w:p>
      <w:pPr>
        <w:widowControl/>
        <w:ind w:firstLine="480" w:firstLineChars="200"/>
        <w:jc w:val="left"/>
        <w:rPr>
          <w:rFonts w:ascii="楷体" w:hAnsi="楷体" w:eastAsia="楷体" w:cs="楷体"/>
          <w:sz w:val="24"/>
          <w:szCs w:val="18"/>
          <w:highlight w:val="none"/>
        </w:rPr>
      </w:pPr>
      <w:r>
        <w:rPr>
          <w:rFonts w:hint="eastAsia" w:ascii="楷体" w:hAnsi="楷体" w:eastAsia="楷体" w:cs="楷体"/>
          <w:sz w:val="24"/>
          <w:szCs w:val="18"/>
          <w:highlight w:val="none"/>
        </w:rPr>
        <w:t>5、限制投资者权利行使期限或者可解除合同期限等全部限制内容；</w:t>
      </w:r>
    </w:p>
    <w:p>
      <w:pPr>
        <w:widowControl/>
        <w:ind w:firstLine="480" w:firstLineChars="200"/>
        <w:jc w:val="left"/>
        <w:rPr>
          <w:rFonts w:ascii="楷体" w:hAnsi="楷体" w:eastAsia="楷体" w:cs="楷体"/>
          <w:sz w:val="24"/>
          <w:szCs w:val="18"/>
          <w:highlight w:val="none"/>
        </w:rPr>
      </w:pPr>
      <w:r>
        <w:rPr>
          <w:rFonts w:hint="eastAsia" w:ascii="楷体" w:hAnsi="楷体" w:eastAsia="楷体" w:cs="楷体"/>
          <w:sz w:val="24"/>
          <w:szCs w:val="18"/>
          <w:highlight w:val="none"/>
        </w:rPr>
        <w:t>6、基金销售机构提供的适当性匹配意见。</w:t>
      </w:r>
    </w:p>
    <w:p>
      <w:pPr>
        <w:widowControl/>
        <w:ind w:firstLine="480" w:firstLineChars="200"/>
        <w:rPr>
          <w:rFonts w:ascii="楷体" w:hAnsi="楷体" w:eastAsia="楷体" w:cs="楷体"/>
          <w:sz w:val="24"/>
          <w:szCs w:val="18"/>
          <w:highlight w:val="none"/>
        </w:rPr>
      </w:pPr>
      <w:r>
        <w:rPr>
          <w:rFonts w:hint="eastAsia" w:ascii="楷体" w:hAnsi="楷体" w:eastAsia="楷体" w:cs="楷体"/>
          <w:sz w:val="24"/>
          <w:szCs w:val="18"/>
          <w:highlight w:val="none"/>
        </w:rPr>
        <w:t>关于私募基金投资，除上述风险提示中适用于私募基金的内容外，本公司特提示投资者认真关注具体私募基金的《风险揭示书》上记载的内容。</w:t>
      </w:r>
    </w:p>
    <w:p>
      <w:pPr>
        <w:widowControl/>
        <w:ind w:firstLine="480" w:firstLineChars="200"/>
        <w:rPr>
          <w:rFonts w:ascii="楷体" w:hAnsi="楷体" w:eastAsia="楷体" w:cs="楷体"/>
          <w:sz w:val="24"/>
          <w:szCs w:val="18"/>
          <w:highlight w:val="none"/>
        </w:rPr>
      </w:pPr>
    </w:p>
    <w:p>
      <w:pPr>
        <w:widowControl/>
        <w:ind w:firstLine="562" w:firstLineChars="200"/>
        <w:rPr>
          <w:rFonts w:ascii="楷体" w:hAnsi="楷体" w:eastAsia="楷体" w:cs="楷体"/>
          <w:b/>
          <w:sz w:val="28"/>
          <w:szCs w:val="18"/>
          <w:highlight w:val="none"/>
        </w:rPr>
      </w:pPr>
      <w:r>
        <w:rPr>
          <w:rFonts w:hint="eastAsia" w:ascii="楷体" w:hAnsi="楷体" w:eastAsia="楷体" w:cs="楷体"/>
          <w:b/>
          <w:sz w:val="28"/>
          <w:szCs w:val="18"/>
          <w:highlight w:val="none"/>
        </w:rPr>
        <w:t>以上《银河期货有限公司证券投资基金投资人权益须知》的有关内容将根据法律法规、监管机构、行业协会的要求，以及本公司业务情况的变化不时进行修订，相关修订以本公司官网（</w:t>
      </w:r>
      <w:r>
        <w:rPr>
          <w:rFonts w:ascii="楷体" w:hAnsi="楷体" w:eastAsia="楷体" w:cs="楷体"/>
          <w:b/>
          <w:sz w:val="28"/>
          <w:szCs w:val="18"/>
          <w:highlight w:val="none"/>
        </w:rPr>
        <w:t>www.yhqh.com.cn</w:t>
      </w:r>
      <w:r>
        <w:rPr>
          <w:rFonts w:hint="eastAsia" w:ascii="楷体" w:hAnsi="楷体" w:eastAsia="楷体" w:cs="楷体"/>
          <w:b/>
          <w:sz w:val="28"/>
          <w:szCs w:val="18"/>
          <w:highlight w:val="none"/>
        </w:rPr>
        <w:t>）更新为准。</w:t>
      </w:r>
    </w:p>
    <w:p>
      <w:pPr>
        <w:widowControl/>
        <w:ind w:firstLine="562" w:firstLineChars="200"/>
        <w:rPr>
          <w:rFonts w:ascii="楷体" w:hAnsi="楷体" w:eastAsia="楷体" w:cs="楷体"/>
          <w:b/>
          <w:bCs/>
          <w:sz w:val="28"/>
          <w:szCs w:val="18"/>
          <w:highlight w:val="none"/>
        </w:rPr>
      </w:pPr>
    </w:p>
    <w:p>
      <w:pPr>
        <w:widowControl/>
        <w:jc w:val="left"/>
        <w:rPr>
          <w:rFonts w:ascii="楷体" w:hAnsi="楷体" w:eastAsia="楷体" w:cs="楷体"/>
          <w:b/>
          <w:bCs/>
          <w:sz w:val="32"/>
          <w:szCs w:val="21"/>
          <w:highlight w:val="none"/>
        </w:rPr>
      </w:pPr>
      <w:r>
        <w:rPr>
          <w:rFonts w:ascii="楷体" w:hAnsi="楷体" w:eastAsia="楷体" w:cs="楷体"/>
          <w:b/>
          <w:bCs/>
          <w:sz w:val="32"/>
          <w:szCs w:val="21"/>
          <w:highlight w:val="none"/>
        </w:rPr>
        <w:br w:type="page"/>
      </w:r>
    </w:p>
    <w:p>
      <w:pPr>
        <w:widowControl/>
        <w:jc w:val="center"/>
        <w:outlineLvl w:val="0"/>
        <w:rPr>
          <w:rFonts w:ascii="黑体" w:hAnsi="黑体" w:eastAsia="黑体" w:cs="仿宋"/>
          <w:b/>
          <w:bCs/>
          <w:color w:val="000000"/>
          <w:kern w:val="0"/>
          <w:sz w:val="36"/>
          <w:szCs w:val="36"/>
          <w:highlight w:val="none"/>
          <w:lang w:bidi="ar"/>
        </w:rPr>
      </w:pPr>
    </w:p>
    <w:p>
      <w:pPr>
        <w:widowControl/>
        <w:jc w:val="center"/>
        <w:outlineLvl w:val="0"/>
        <w:rPr>
          <w:rFonts w:ascii="黑体" w:hAnsi="黑体" w:eastAsia="黑体" w:cs="仿宋"/>
          <w:b/>
          <w:bCs/>
          <w:color w:val="000000"/>
          <w:kern w:val="0"/>
          <w:sz w:val="36"/>
          <w:szCs w:val="36"/>
          <w:highlight w:val="none"/>
          <w:lang w:bidi="ar"/>
        </w:rPr>
      </w:pPr>
      <w:r>
        <w:rPr>
          <w:rFonts w:hint="eastAsia" w:ascii="黑体" w:hAnsi="黑体" w:eastAsia="黑体" w:cs="仿宋"/>
          <w:b/>
          <w:bCs/>
          <w:color w:val="000000"/>
          <w:kern w:val="0"/>
          <w:sz w:val="36"/>
          <w:szCs w:val="36"/>
          <w:highlight w:val="none"/>
          <w:lang w:bidi="ar"/>
        </w:rPr>
        <w:t>基金风险揭示及售前告知书</w:t>
      </w:r>
    </w:p>
    <w:p>
      <w:pPr>
        <w:widowControl/>
        <w:jc w:val="center"/>
        <w:outlineLvl w:val="0"/>
        <w:rPr>
          <w:rFonts w:ascii="黑体" w:hAnsi="黑体" w:eastAsia="黑体" w:cs="仿宋"/>
          <w:b/>
          <w:bCs/>
          <w:color w:val="000000"/>
          <w:kern w:val="0"/>
          <w:sz w:val="36"/>
          <w:szCs w:val="36"/>
          <w:highlight w:val="none"/>
          <w:lang w:bidi="ar"/>
        </w:rPr>
      </w:pPr>
    </w:p>
    <w:p>
      <w:pPr>
        <w:widowControl/>
        <w:ind w:firstLine="480" w:firstLineChars="200"/>
        <w:rPr>
          <w:rFonts w:ascii="楷体" w:hAnsi="楷体" w:eastAsia="楷体" w:cs="楷体"/>
          <w:color w:val="000000"/>
          <w:kern w:val="0"/>
          <w:sz w:val="24"/>
          <w:szCs w:val="18"/>
          <w:highlight w:val="none"/>
        </w:rPr>
      </w:pPr>
      <w:r>
        <w:rPr>
          <w:rFonts w:hint="eastAsia" w:ascii="楷体" w:hAnsi="楷体" w:eastAsia="楷体" w:cs="楷体"/>
          <w:color w:val="000000"/>
          <w:kern w:val="0"/>
          <w:sz w:val="24"/>
          <w:szCs w:val="18"/>
          <w:highlight w:val="none"/>
        </w:rPr>
        <w:t>基金分为公募基金和私募基金，投资人投资不同类型的基金将获得不同的收益预期，也将承担不同程度的风险。一般来说，基金的收益预期越高，投资人承担的风险也越大。</w:t>
      </w:r>
    </w:p>
    <w:p>
      <w:pPr>
        <w:widowControl/>
        <w:ind w:firstLine="480" w:firstLineChars="200"/>
        <w:rPr>
          <w:rFonts w:ascii="楷体" w:hAnsi="楷体" w:eastAsia="楷体" w:cs="楷体"/>
          <w:color w:val="000000"/>
          <w:kern w:val="0"/>
          <w:sz w:val="24"/>
          <w:szCs w:val="18"/>
          <w:highlight w:val="none"/>
        </w:rPr>
      </w:pPr>
      <w:r>
        <w:rPr>
          <w:rFonts w:hint="eastAsia" w:ascii="楷体" w:hAnsi="楷体" w:eastAsia="楷体" w:cs="楷体"/>
          <w:sz w:val="24"/>
          <w:szCs w:val="18"/>
          <w:highlight w:val="none"/>
        </w:rPr>
        <w:t>投资有风险。</w:t>
      </w:r>
      <w:r>
        <w:rPr>
          <w:rFonts w:hint="eastAsia" w:ascii="楷体" w:hAnsi="楷体" w:eastAsia="楷体" w:cs="楷体"/>
          <w:color w:val="000000"/>
          <w:kern w:val="0"/>
          <w:sz w:val="24"/>
          <w:szCs w:val="18"/>
          <w:highlight w:val="none"/>
        </w:rPr>
        <w:t>您在做出投资决策之前，请仔细阅读基金合同、基金招募说明书和基金产品资料概要等产品法律文件和本风险揭示书，充分认识基金的风险收益特征和产品特性，认真考虑基金存在的各项风险因素，并根据自身的投资目的、投资期限、投资经验、资产状况等因素充分考虑自身的风险承受能力，在了解产品情况及销售适当性意见的基础上，理性判断并谨慎做出投资决策。</w:t>
      </w:r>
    </w:p>
    <w:p>
      <w:pPr>
        <w:widowControl/>
        <w:ind w:firstLine="480" w:firstLineChars="200"/>
        <w:rPr>
          <w:rFonts w:ascii="楷体" w:hAnsi="楷体" w:eastAsia="楷体" w:cs="楷体"/>
          <w:color w:val="000000"/>
          <w:kern w:val="0"/>
          <w:sz w:val="24"/>
          <w:szCs w:val="18"/>
          <w:highlight w:val="none"/>
        </w:rPr>
      </w:pPr>
      <w:r>
        <w:rPr>
          <w:rFonts w:hint="eastAsia" w:ascii="楷体" w:hAnsi="楷体" w:eastAsia="楷体" w:cs="楷体"/>
          <w:color w:val="000000"/>
          <w:kern w:val="0"/>
          <w:sz w:val="24"/>
          <w:szCs w:val="18"/>
          <w:highlight w:val="none"/>
        </w:rPr>
        <w:t>银河期货有限公司承诺以诚实信用、勤勉尽责、专业审慎的原则筛选代销基金，但不保证基金一定盈利，也不保证最低收益。银河期货有限公司提醒投资人，基于基金投资的“买者自负”原则，投资人须了解并承受以下风险，包括但不限于：</w:t>
      </w:r>
    </w:p>
    <w:p>
      <w:pPr>
        <w:widowControl/>
        <w:ind w:firstLine="482" w:firstLineChars="200"/>
        <w:outlineLvl w:val="1"/>
        <w:rPr>
          <w:rFonts w:ascii="楷体" w:hAnsi="楷体" w:eastAsia="楷体" w:cs="楷体"/>
          <w:b/>
          <w:color w:val="000000"/>
          <w:kern w:val="0"/>
          <w:sz w:val="24"/>
          <w:szCs w:val="18"/>
          <w:highlight w:val="none"/>
        </w:rPr>
      </w:pPr>
      <w:r>
        <w:rPr>
          <w:rFonts w:hint="eastAsia" w:ascii="楷体" w:hAnsi="楷体" w:eastAsia="楷体" w:cs="楷体"/>
          <w:b/>
          <w:color w:val="000000"/>
          <w:kern w:val="0"/>
          <w:sz w:val="24"/>
          <w:szCs w:val="18"/>
          <w:highlight w:val="none"/>
        </w:rPr>
        <w:t>一、可能直接导致本金亏损的事项</w:t>
      </w:r>
    </w:p>
    <w:p>
      <w:pPr>
        <w:widowControl/>
        <w:ind w:firstLine="482" w:firstLineChars="200"/>
        <w:outlineLvl w:val="2"/>
        <w:rPr>
          <w:rFonts w:ascii="楷体" w:hAnsi="楷体" w:eastAsia="楷体" w:cs="楷体"/>
          <w:b/>
          <w:color w:val="000000"/>
          <w:kern w:val="0"/>
          <w:sz w:val="24"/>
          <w:szCs w:val="18"/>
          <w:highlight w:val="none"/>
        </w:rPr>
      </w:pPr>
      <w:r>
        <w:rPr>
          <w:rFonts w:hint="eastAsia" w:ascii="楷体" w:hAnsi="楷体" w:eastAsia="楷体" w:cs="楷体"/>
          <w:b/>
          <w:color w:val="000000"/>
          <w:kern w:val="0"/>
          <w:sz w:val="24"/>
          <w:szCs w:val="18"/>
          <w:highlight w:val="none"/>
        </w:rPr>
        <w:t>（一）市场风险</w:t>
      </w:r>
    </w:p>
    <w:p>
      <w:pPr>
        <w:widowControl/>
        <w:ind w:firstLine="480" w:firstLineChars="200"/>
        <w:rPr>
          <w:rFonts w:ascii="楷体" w:hAnsi="楷体" w:eastAsia="楷体" w:cs="楷体"/>
          <w:sz w:val="24"/>
          <w:szCs w:val="18"/>
          <w:highlight w:val="none"/>
        </w:rPr>
      </w:pPr>
      <w:r>
        <w:rPr>
          <w:rFonts w:hint="eastAsia" w:ascii="楷体" w:hAnsi="楷体" w:eastAsia="楷体" w:cs="楷体"/>
          <w:sz w:val="24"/>
          <w:szCs w:val="18"/>
          <w:highlight w:val="none"/>
        </w:rPr>
        <w:t>市场风险是指投资品种的价格因受经济因素、政治因素、投资心理和交易制度等各种因素影响而引起的波动，导致收益水平变化，产生风险。市场风险主要包括：</w:t>
      </w:r>
    </w:p>
    <w:p>
      <w:pPr>
        <w:widowControl/>
        <w:ind w:firstLine="480" w:firstLineChars="200"/>
        <w:rPr>
          <w:rFonts w:ascii="楷体" w:hAnsi="楷体" w:eastAsia="楷体" w:cs="楷体"/>
          <w:sz w:val="24"/>
          <w:szCs w:val="18"/>
          <w:highlight w:val="none"/>
        </w:rPr>
      </w:pPr>
      <w:r>
        <w:rPr>
          <w:rFonts w:hint="eastAsia" w:ascii="楷体" w:hAnsi="楷体" w:eastAsia="楷体" w:cs="楷体"/>
          <w:sz w:val="24"/>
          <w:szCs w:val="18"/>
          <w:highlight w:val="none"/>
        </w:rPr>
        <w:t>1、政策风险。货币政策、财政政策、产业政策等国家宏观经济政策的变化对资本市场产生一定的影响，导致市场价格波动，影响基金投资的收益而产生风险。</w:t>
      </w:r>
    </w:p>
    <w:p>
      <w:pPr>
        <w:widowControl/>
        <w:ind w:firstLine="480" w:firstLineChars="200"/>
        <w:rPr>
          <w:rFonts w:ascii="楷体" w:hAnsi="楷体" w:eastAsia="楷体" w:cs="楷体"/>
          <w:sz w:val="24"/>
          <w:szCs w:val="18"/>
          <w:highlight w:val="none"/>
        </w:rPr>
      </w:pPr>
      <w:r>
        <w:rPr>
          <w:rFonts w:hint="eastAsia" w:ascii="楷体" w:hAnsi="楷体" w:eastAsia="楷体" w:cs="楷体"/>
          <w:sz w:val="24"/>
          <w:szCs w:val="18"/>
          <w:highlight w:val="none"/>
        </w:rPr>
        <w:t>2、经济周期风险。随经济运行的周期性变化，证券市场的收益水平也呈周期性变化。基金投资于债券，收益水平也会随之变化,各个行业及上市公司的盈利水平也呈周期性变化，影响到个股乃至整个行业板块的二级市场的走势，从而产生风险。</w:t>
      </w:r>
    </w:p>
    <w:p>
      <w:pPr>
        <w:widowControl/>
        <w:ind w:firstLine="480" w:firstLineChars="200"/>
        <w:rPr>
          <w:rFonts w:ascii="楷体" w:hAnsi="楷体" w:eastAsia="楷体" w:cs="楷体"/>
          <w:sz w:val="24"/>
          <w:szCs w:val="18"/>
          <w:highlight w:val="none"/>
        </w:rPr>
      </w:pPr>
      <w:r>
        <w:rPr>
          <w:rFonts w:hint="eastAsia" w:ascii="楷体" w:hAnsi="楷体" w:eastAsia="楷体" w:cs="楷体"/>
          <w:sz w:val="24"/>
          <w:szCs w:val="18"/>
          <w:highlight w:val="none"/>
        </w:rPr>
        <w:t>3、利率、汇率风险。利率风险是指由于利率变动而导致的资产价格和资产利息的损益。利率波动会直接影响企业的融资成本和利润水平，导致证券市场的价格和收益率的变动，使证券基金投资的收益水平随之发生变化，从而产生风险。汇率波动范围将影响国内资产价格的重估，从而影响基金资产的净值。</w:t>
      </w:r>
    </w:p>
    <w:p>
      <w:pPr>
        <w:widowControl/>
        <w:ind w:firstLine="480" w:firstLineChars="200"/>
        <w:rPr>
          <w:rFonts w:ascii="楷体" w:hAnsi="楷体" w:eastAsia="楷体" w:cs="楷体"/>
          <w:sz w:val="24"/>
          <w:szCs w:val="18"/>
          <w:highlight w:val="none"/>
        </w:rPr>
      </w:pPr>
      <w:r>
        <w:rPr>
          <w:rFonts w:hint="eastAsia" w:ascii="楷体" w:hAnsi="楷体" w:eastAsia="楷体" w:cs="楷体"/>
          <w:sz w:val="24"/>
          <w:szCs w:val="18"/>
          <w:highlight w:val="none"/>
        </w:rPr>
        <w:t>4、经营风险。（1）债券发行人经营风险：所投资的债券其发行人运营收入变化越大，经营风险就越大；反之，运营收入越稳定，经营风险就越小。（2）上市公司经营风险：如果基金所投资的上市公司经营不善，其股票价格可能下跌，或者能够用于分配的利润减少，使基金投资收益下降。虽然基金可以通过投资多样化来分散这种非系统风险，但不能完全规避。</w:t>
      </w:r>
    </w:p>
    <w:p>
      <w:pPr>
        <w:widowControl/>
        <w:ind w:firstLine="480" w:firstLineChars="200"/>
        <w:rPr>
          <w:rFonts w:ascii="楷体" w:hAnsi="楷体" w:eastAsia="楷体" w:cs="楷体"/>
          <w:sz w:val="24"/>
          <w:szCs w:val="18"/>
          <w:highlight w:val="none"/>
        </w:rPr>
      </w:pPr>
      <w:r>
        <w:rPr>
          <w:rFonts w:hint="eastAsia" w:ascii="楷体" w:hAnsi="楷体" w:eastAsia="楷体" w:cs="楷体"/>
          <w:sz w:val="24"/>
          <w:szCs w:val="18"/>
          <w:highlight w:val="none"/>
        </w:rPr>
        <w:t>5、购买力风险。基金的利润主要通过现金形式来分配，而现金可能因为通货膨胀的影响而导致购买力下降，从而使基金的实际收益下降。</w:t>
      </w:r>
    </w:p>
    <w:p>
      <w:pPr>
        <w:widowControl/>
        <w:ind w:firstLine="480" w:firstLineChars="200"/>
        <w:rPr>
          <w:rFonts w:ascii="楷体" w:hAnsi="楷体" w:eastAsia="楷体" w:cs="楷体"/>
          <w:sz w:val="24"/>
          <w:szCs w:val="18"/>
          <w:highlight w:val="none"/>
        </w:rPr>
      </w:pPr>
      <w:r>
        <w:rPr>
          <w:rFonts w:hint="eastAsia" w:ascii="楷体" w:hAnsi="楷体" w:eastAsia="楷体" w:cs="楷体"/>
          <w:sz w:val="24"/>
          <w:szCs w:val="18"/>
          <w:highlight w:val="none"/>
        </w:rPr>
        <w:t>6、再投资风险。固定收益品种获得的本息收入或者回购到期的资金，可能由于市场利率的下降面临资金再投资的收益率低于原来利率，从而对基金产生再投资风险。</w:t>
      </w:r>
    </w:p>
    <w:p>
      <w:pPr>
        <w:widowControl/>
        <w:ind w:firstLine="480" w:firstLineChars="200"/>
        <w:rPr>
          <w:rFonts w:ascii="楷体" w:hAnsi="楷体" w:eastAsia="楷体" w:cs="楷体"/>
          <w:sz w:val="24"/>
          <w:szCs w:val="18"/>
          <w:highlight w:val="none"/>
        </w:rPr>
      </w:pPr>
      <w:r>
        <w:rPr>
          <w:rFonts w:hint="eastAsia" w:ascii="楷体" w:hAnsi="楷体" w:eastAsia="楷体" w:cs="楷体"/>
          <w:sz w:val="24"/>
          <w:szCs w:val="18"/>
          <w:highlight w:val="none"/>
        </w:rPr>
        <w:t>7、新股申购风险。新股申购风险是指获配新股上市后其二级市场交易价格下跌至申购价以下的风险。由于网下获配新股有一定的锁定期，锁定期间股票价格受各种市场因素、宏观政策因素等的影响，股票价格有可能下跌到申购价以下。</w:t>
      </w:r>
    </w:p>
    <w:p>
      <w:pPr>
        <w:widowControl/>
        <w:ind w:firstLine="482" w:firstLineChars="200"/>
        <w:outlineLvl w:val="2"/>
        <w:rPr>
          <w:rFonts w:ascii="楷体" w:hAnsi="楷体" w:eastAsia="楷体" w:cs="楷体"/>
          <w:b/>
          <w:color w:val="000000"/>
          <w:kern w:val="0"/>
          <w:sz w:val="24"/>
          <w:szCs w:val="18"/>
          <w:highlight w:val="none"/>
        </w:rPr>
      </w:pPr>
      <w:r>
        <w:rPr>
          <w:rFonts w:hint="eastAsia" w:ascii="楷体" w:hAnsi="楷体" w:eastAsia="楷体" w:cs="楷体"/>
          <w:b/>
          <w:color w:val="000000"/>
          <w:kern w:val="0"/>
          <w:sz w:val="24"/>
          <w:szCs w:val="18"/>
          <w:highlight w:val="none"/>
        </w:rPr>
        <w:t>（二）管理风险</w:t>
      </w:r>
    </w:p>
    <w:p>
      <w:pPr>
        <w:ind w:firstLine="480" w:firstLineChars="200"/>
        <w:rPr>
          <w:rFonts w:ascii="楷体" w:hAnsi="楷体" w:eastAsia="楷体" w:cs="楷体"/>
          <w:color w:val="000000"/>
          <w:kern w:val="0"/>
          <w:sz w:val="24"/>
          <w:szCs w:val="18"/>
          <w:highlight w:val="none"/>
        </w:rPr>
      </w:pPr>
      <w:r>
        <w:rPr>
          <w:rFonts w:hint="eastAsia" w:ascii="楷体" w:hAnsi="楷体" w:eastAsia="楷体" w:cs="楷体"/>
          <w:color w:val="000000"/>
          <w:kern w:val="0"/>
          <w:sz w:val="24"/>
          <w:szCs w:val="18"/>
          <w:highlight w:val="none"/>
        </w:rPr>
        <w:t>管理风险是指基金在运作过程中由于基金投资策略、人为因素、管理系统设置不当造成操作失误或公司内部失控而可能产生的损失。包括：</w:t>
      </w:r>
    </w:p>
    <w:p>
      <w:pPr>
        <w:ind w:firstLine="480" w:firstLineChars="200"/>
        <w:rPr>
          <w:rFonts w:ascii="楷体" w:hAnsi="楷体" w:eastAsia="楷体" w:cs="楷体"/>
          <w:color w:val="000000"/>
          <w:kern w:val="0"/>
          <w:sz w:val="24"/>
          <w:szCs w:val="18"/>
          <w:highlight w:val="none"/>
        </w:rPr>
      </w:pPr>
      <w:r>
        <w:rPr>
          <w:rFonts w:hint="eastAsia" w:ascii="楷体" w:hAnsi="楷体" w:eastAsia="楷体" w:cs="楷体"/>
          <w:color w:val="000000"/>
          <w:kern w:val="0"/>
          <w:sz w:val="24"/>
          <w:szCs w:val="18"/>
          <w:highlight w:val="none"/>
        </w:rPr>
        <w:t>1、决策风险：指基金投资的投资策略制定、投资决策执行和投资绩效监督检查过程中，由于决策失误而给基金资产造成的可能的损失；</w:t>
      </w:r>
    </w:p>
    <w:p>
      <w:pPr>
        <w:ind w:firstLine="480" w:firstLineChars="200"/>
        <w:rPr>
          <w:rFonts w:ascii="楷体" w:hAnsi="楷体" w:eastAsia="楷体" w:cs="楷体"/>
          <w:color w:val="000000"/>
          <w:kern w:val="0"/>
          <w:sz w:val="24"/>
          <w:szCs w:val="18"/>
          <w:highlight w:val="none"/>
        </w:rPr>
      </w:pPr>
      <w:r>
        <w:rPr>
          <w:rFonts w:hint="eastAsia" w:ascii="楷体" w:hAnsi="楷体" w:eastAsia="楷体" w:cs="楷体"/>
          <w:color w:val="000000"/>
          <w:kern w:val="0"/>
          <w:sz w:val="24"/>
          <w:szCs w:val="18"/>
          <w:highlight w:val="none"/>
        </w:rPr>
        <w:t>2、操作风险：指基金投资决策执行中，由于投资指令不明晰、交易操作失误等人为因素而可能导致的损失；</w:t>
      </w:r>
    </w:p>
    <w:p>
      <w:pPr>
        <w:ind w:firstLine="480" w:firstLineChars="200"/>
        <w:rPr>
          <w:rFonts w:ascii="楷体" w:hAnsi="楷体" w:eastAsia="楷体" w:cs="楷体"/>
          <w:color w:val="000000"/>
          <w:kern w:val="0"/>
          <w:sz w:val="24"/>
          <w:szCs w:val="18"/>
          <w:highlight w:val="none"/>
        </w:rPr>
      </w:pPr>
      <w:r>
        <w:rPr>
          <w:rFonts w:hint="eastAsia" w:ascii="楷体" w:hAnsi="楷体" w:eastAsia="楷体" w:cs="楷体"/>
          <w:color w:val="000000"/>
          <w:kern w:val="0"/>
          <w:sz w:val="24"/>
          <w:szCs w:val="18"/>
          <w:highlight w:val="none"/>
        </w:rPr>
        <w:t>3、技术风险：是指由于公司管理信息系统设置不当等因素而可能造成的损失。</w:t>
      </w:r>
    </w:p>
    <w:p>
      <w:pPr>
        <w:widowControl/>
        <w:ind w:firstLine="482" w:firstLineChars="200"/>
        <w:outlineLvl w:val="2"/>
        <w:rPr>
          <w:rFonts w:ascii="楷体" w:hAnsi="楷体" w:eastAsia="楷体" w:cs="楷体"/>
          <w:b/>
          <w:color w:val="000000"/>
          <w:kern w:val="0"/>
          <w:sz w:val="24"/>
          <w:szCs w:val="18"/>
          <w:highlight w:val="none"/>
        </w:rPr>
      </w:pPr>
      <w:r>
        <w:rPr>
          <w:rFonts w:hint="eastAsia" w:ascii="楷体" w:hAnsi="楷体" w:eastAsia="楷体" w:cs="楷体"/>
          <w:b/>
          <w:color w:val="000000"/>
          <w:kern w:val="0"/>
          <w:sz w:val="24"/>
          <w:szCs w:val="18"/>
          <w:highlight w:val="none"/>
        </w:rPr>
        <w:t>（三）流动性风险</w:t>
      </w:r>
    </w:p>
    <w:p>
      <w:pPr>
        <w:snapToGrid w:val="0"/>
        <w:ind w:firstLine="480" w:firstLineChars="200"/>
        <w:rPr>
          <w:rFonts w:ascii="楷体" w:hAnsi="楷体" w:eastAsia="楷体" w:cs="楷体"/>
          <w:sz w:val="24"/>
          <w:szCs w:val="18"/>
          <w:highlight w:val="none"/>
        </w:rPr>
      </w:pPr>
      <w:r>
        <w:rPr>
          <w:rFonts w:hint="eastAsia" w:ascii="楷体" w:hAnsi="楷体" w:eastAsia="楷体" w:cs="楷体"/>
          <w:sz w:val="24"/>
          <w:szCs w:val="18"/>
          <w:highlight w:val="none"/>
        </w:rPr>
        <w:t>流动性风险是指基金不能迅速转变成现金，或者转变成现金会对资产价格造成重大不利影响的风险。按照其来源可以分为三类：</w:t>
      </w:r>
    </w:p>
    <w:p>
      <w:pPr>
        <w:snapToGrid w:val="0"/>
        <w:ind w:firstLine="480" w:firstLineChars="200"/>
        <w:rPr>
          <w:rFonts w:ascii="楷体" w:hAnsi="楷体" w:eastAsia="楷体" w:cs="楷体"/>
          <w:sz w:val="24"/>
          <w:szCs w:val="18"/>
          <w:highlight w:val="none"/>
        </w:rPr>
      </w:pPr>
      <w:r>
        <w:rPr>
          <w:rFonts w:hint="eastAsia" w:ascii="楷体" w:hAnsi="楷体" w:eastAsia="楷体" w:cs="楷体"/>
          <w:sz w:val="24"/>
          <w:szCs w:val="18"/>
          <w:highlight w:val="none"/>
        </w:rPr>
        <w:t>1、市场整体流动性相对不足。证券市场的流动性受到市场行情、投资群体等诸多因素的影响，在某些时期成交活跃，流动性好;而在另一些时期，可能成交稀少，流动性差。在市场流动性相对不足时，交易变现有可能增加变现成本，对基金投资收益造成不利影响。</w:t>
      </w:r>
    </w:p>
    <w:p>
      <w:pPr>
        <w:snapToGrid w:val="0"/>
        <w:ind w:firstLine="480" w:firstLineChars="200"/>
        <w:rPr>
          <w:rFonts w:ascii="楷体" w:hAnsi="楷体" w:eastAsia="楷体" w:cs="楷体"/>
          <w:sz w:val="24"/>
          <w:szCs w:val="18"/>
          <w:highlight w:val="none"/>
        </w:rPr>
      </w:pPr>
      <w:r>
        <w:rPr>
          <w:rFonts w:hint="eastAsia" w:ascii="楷体" w:hAnsi="楷体" w:eastAsia="楷体" w:cs="楷体"/>
          <w:sz w:val="24"/>
          <w:szCs w:val="18"/>
          <w:highlight w:val="none"/>
        </w:rPr>
        <w:t>2、证券市场中流动性不均匀，存在个股和个券流动性风险。由于流动性存在差异，即使在市场流动性比较好的情况下，一些个股和个券的流动性可能仍然比较差，从而使得基金在进行个股和个券操作时，可能难以按计划买入或卖出相应的数量，或买入卖出行为对个股和个券价格产生比较大的影响，增加个股和个券的建仓成本或变现成本。</w:t>
      </w:r>
    </w:p>
    <w:p>
      <w:pPr>
        <w:snapToGrid w:val="0"/>
        <w:ind w:firstLine="480" w:firstLineChars="200"/>
        <w:rPr>
          <w:rFonts w:ascii="楷体" w:hAnsi="楷体" w:eastAsia="楷体" w:cs="楷体"/>
          <w:sz w:val="24"/>
          <w:szCs w:val="18"/>
          <w:highlight w:val="none"/>
        </w:rPr>
      </w:pPr>
      <w:r>
        <w:rPr>
          <w:rFonts w:hint="eastAsia" w:ascii="楷体" w:hAnsi="楷体" w:eastAsia="楷体" w:cs="楷体"/>
          <w:sz w:val="24"/>
          <w:szCs w:val="18"/>
          <w:highlight w:val="none"/>
        </w:rPr>
        <w:t>3、在开放式基金交易过程中，可能会发生巨额赎回的情形。巨额赎回可能会产生基金仓位调整的困难，导致流动性风险，甚至影响基金份额净值。</w:t>
      </w:r>
    </w:p>
    <w:p>
      <w:pPr>
        <w:widowControl/>
        <w:ind w:firstLine="482" w:firstLineChars="200"/>
        <w:outlineLvl w:val="2"/>
        <w:rPr>
          <w:rFonts w:ascii="楷体" w:hAnsi="楷体" w:eastAsia="楷体" w:cs="楷体"/>
          <w:b/>
          <w:color w:val="000000"/>
          <w:kern w:val="0"/>
          <w:sz w:val="24"/>
          <w:szCs w:val="18"/>
          <w:highlight w:val="none"/>
        </w:rPr>
      </w:pPr>
      <w:r>
        <w:rPr>
          <w:rFonts w:hint="eastAsia" w:ascii="楷体" w:hAnsi="楷体" w:eastAsia="楷体" w:cs="楷体"/>
          <w:b/>
          <w:color w:val="000000"/>
          <w:kern w:val="0"/>
          <w:sz w:val="24"/>
          <w:szCs w:val="18"/>
          <w:highlight w:val="none"/>
        </w:rPr>
        <w:t>（四）信用风险</w:t>
      </w:r>
    </w:p>
    <w:p>
      <w:pPr>
        <w:snapToGrid w:val="0"/>
        <w:ind w:firstLine="480" w:firstLineChars="200"/>
        <w:rPr>
          <w:rFonts w:ascii="楷体" w:hAnsi="楷体" w:eastAsia="楷体" w:cs="楷体"/>
          <w:sz w:val="24"/>
          <w:szCs w:val="18"/>
          <w:highlight w:val="none"/>
        </w:rPr>
      </w:pPr>
      <w:r>
        <w:rPr>
          <w:rFonts w:hint="eastAsia" w:ascii="楷体" w:hAnsi="楷体" w:eastAsia="楷体" w:cs="楷体"/>
          <w:sz w:val="24"/>
          <w:szCs w:val="18"/>
          <w:highlight w:val="none"/>
        </w:rPr>
        <w:t>信用风险是指发行人是否能够实现发行时的承诺，按时足额还本付息的风险，或者交易对手未能按时履约的风险。</w:t>
      </w:r>
    </w:p>
    <w:p>
      <w:pPr>
        <w:snapToGrid w:val="0"/>
        <w:ind w:firstLine="480" w:firstLineChars="200"/>
        <w:rPr>
          <w:rFonts w:ascii="楷体" w:hAnsi="楷体" w:eastAsia="楷体" w:cs="楷体"/>
          <w:sz w:val="24"/>
          <w:szCs w:val="18"/>
          <w:highlight w:val="none"/>
        </w:rPr>
      </w:pPr>
      <w:r>
        <w:rPr>
          <w:rFonts w:hint="eastAsia" w:ascii="楷体" w:hAnsi="楷体" w:eastAsia="楷体" w:cs="楷体"/>
          <w:sz w:val="24"/>
          <w:szCs w:val="18"/>
          <w:highlight w:val="none"/>
        </w:rPr>
        <w:t>1、交易品种的信用风险。投资于公司债券、可转换债券等固定收益类产品，存在着发行人不能按时足额还本付息的风险;此外，当发行人信用评级降低时，基金所投资的债券可能面临价格下跌风险。</w:t>
      </w:r>
    </w:p>
    <w:p>
      <w:pPr>
        <w:snapToGrid w:val="0"/>
        <w:ind w:firstLine="480" w:firstLineChars="200"/>
        <w:rPr>
          <w:rFonts w:ascii="楷体" w:hAnsi="楷体" w:eastAsia="楷体" w:cs="楷体"/>
          <w:sz w:val="24"/>
          <w:szCs w:val="18"/>
          <w:highlight w:val="none"/>
        </w:rPr>
      </w:pPr>
      <w:r>
        <w:rPr>
          <w:rFonts w:hint="eastAsia" w:ascii="楷体" w:hAnsi="楷体" w:eastAsia="楷体" w:cs="楷体"/>
          <w:sz w:val="24"/>
          <w:szCs w:val="18"/>
          <w:highlight w:val="none"/>
        </w:rPr>
        <w:t>2、交易对手的信用风险。交易对手未能履行合约，或在交易期间未如约支付已借出证券产生的所有股息、利息和分红，将使基金投资面临交易对手的信用风险。</w:t>
      </w:r>
    </w:p>
    <w:p>
      <w:pPr>
        <w:widowControl/>
        <w:ind w:firstLine="482" w:firstLineChars="200"/>
        <w:outlineLvl w:val="2"/>
        <w:rPr>
          <w:rFonts w:ascii="楷体" w:hAnsi="楷体" w:eastAsia="楷体" w:cs="楷体"/>
          <w:b/>
          <w:color w:val="000000"/>
          <w:kern w:val="0"/>
          <w:sz w:val="24"/>
          <w:szCs w:val="18"/>
          <w:highlight w:val="none"/>
        </w:rPr>
      </w:pPr>
      <w:r>
        <w:rPr>
          <w:rFonts w:hint="eastAsia" w:ascii="楷体" w:hAnsi="楷体" w:eastAsia="楷体" w:cs="楷体"/>
          <w:b/>
          <w:color w:val="000000"/>
          <w:kern w:val="0"/>
          <w:sz w:val="24"/>
          <w:szCs w:val="18"/>
          <w:highlight w:val="none"/>
        </w:rPr>
        <w:t>（五）投资特定标的面临的特殊风险</w:t>
      </w:r>
    </w:p>
    <w:p>
      <w:pPr>
        <w:snapToGrid w:val="0"/>
        <w:ind w:firstLine="480" w:firstLineChars="200"/>
        <w:rPr>
          <w:rFonts w:ascii="楷体" w:hAnsi="楷体" w:eastAsia="楷体" w:cs="楷体"/>
          <w:sz w:val="24"/>
          <w:szCs w:val="18"/>
          <w:highlight w:val="none"/>
        </w:rPr>
      </w:pPr>
      <w:r>
        <w:rPr>
          <w:rFonts w:hint="eastAsia" w:ascii="楷体" w:hAnsi="楷体" w:eastAsia="楷体" w:cs="楷体"/>
          <w:sz w:val="24"/>
          <w:szCs w:val="18"/>
          <w:highlight w:val="none"/>
        </w:rPr>
        <w:t>基金因投资某类特定投资品种可能面临不同的风险，从主要投资标的上划分为以下三类：</w:t>
      </w:r>
    </w:p>
    <w:p>
      <w:pPr>
        <w:snapToGrid w:val="0"/>
        <w:ind w:firstLine="480" w:firstLineChars="200"/>
        <w:rPr>
          <w:rFonts w:ascii="楷体" w:hAnsi="楷体" w:eastAsia="楷体" w:cs="楷体"/>
          <w:sz w:val="24"/>
          <w:szCs w:val="18"/>
          <w:highlight w:val="none"/>
        </w:rPr>
      </w:pPr>
      <w:r>
        <w:rPr>
          <w:rFonts w:hint="eastAsia" w:ascii="楷体" w:hAnsi="楷体" w:eastAsia="楷体" w:cs="楷体"/>
          <w:sz w:val="24"/>
          <w:szCs w:val="18"/>
          <w:highlight w:val="none"/>
        </w:rPr>
        <w:t>1、投资股指期货面临的风险。基金投资股指期货可能面临杠杆风险、基差风险、股指期货展期时的流动性风险、期货盯市结算制度带来的现金管理风险、到期日风险、对手方风险、未平仓合约不能继续持有风险。</w:t>
      </w:r>
    </w:p>
    <w:p>
      <w:pPr>
        <w:snapToGrid w:val="0"/>
        <w:ind w:firstLine="480" w:firstLineChars="200"/>
        <w:rPr>
          <w:rFonts w:ascii="楷体" w:hAnsi="楷体" w:eastAsia="楷体" w:cs="楷体"/>
          <w:sz w:val="24"/>
          <w:szCs w:val="18"/>
          <w:highlight w:val="none"/>
        </w:rPr>
      </w:pPr>
      <w:r>
        <w:rPr>
          <w:rFonts w:hint="eastAsia" w:ascii="楷体" w:hAnsi="楷体" w:eastAsia="楷体" w:cs="楷体"/>
          <w:sz w:val="24"/>
          <w:szCs w:val="18"/>
          <w:highlight w:val="none"/>
        </w:rPr>
        <w:t>2、投资商品面临的风险。基金投资黄金、白银等商品，会因黄金、白银现货价格波动而影响投资收益。</w:t>
      </w:r>
    </w:p>
    <w:p>
      <w:pPr>
        <w:snapToGrid w:val="0"/>
        <w:ind w:firstLine="480" w:firstLineChars="200"/>
        <w:rPr>
          <w:rFonts w:ascii="楷体" w:hAnsi="楷体" w:eastAsia="楷体" w:cs="楷体"/>
          <w:sz w:val="24"/>
          <w:szCs w:val="18"/>
          <w:highlight w:val="none"/>
        </w:rPr>
      </w:pPr>
      <w:r>
        <w:rPr>
          <w:rFonts w:hint="eastAsia" w:ascii="楷体" w:hAnsi="楷体" w:eastAsia="楷体" w:cs="楷体"/>
          <w:sz w:val="24"/>
          <w:szCs w:val="18"/>
          <w:highlight w:val="none"/>
        </w:rPr>
        <w:t>3、投资海外市场面临的风险。基金投资海外市场，受到全球各个国家/地区市场风险、法律和政治风险、会计制度风险、税务风险、新兴市场投资风险以及外汇额度限制引致的特殊风险。</w:t>
      </w:r>
    </w:p>
    <w:p>
      <w:pPr>
        <w:snapToGrid w:val="0"/>
        <w:ind w:firstLine="482" w:firstLineChars="200"/>
        <w:rPr>
          <w:rFonts w:ascii="楷体" w:hAnsi="楷体" w:eastAsia="楷体" w:cs="楷体"/>
          <w:b/>
          <w:sz w:val="24"/>
          <w:szCs w:val="18"/>
          <w:highlight w:val="none"/>
        </w:rPr>
      </w:pPr>
      <w:r>
        <w:rPr>
          <w:rFonts w:hint="eastAsia" w:ascii="楷体" w:hAnsi="楷体" w:eastAsia="楷体" w:cs="楷体"/>
          <w:b/>
          <w:sz w:val="24"/>
          <w:szCs w:val="18"/>
          <w:highlight w:val="none"/>
        </w:rPr>
        <w:t>（六）网上交易特有风险</w:t>
      </w:r>
    </w:p>
    <w:p>
      <w:pPr>
        <w:snapToGrid w:val="0"/>
        <w:ind w:firstLine="480" w:firstLineChars="200"/>
        <w:rPr>
          <w:rFonts w:ascii="楷体" w:hAnsi="楷体" w:eastAsia="楷体" w:cs="楷体"/>
          <w:sz w:val="24"/>
          <w:szCs w:val="18"/>
          <w:highlight w:val="none"/>
        </w:rPr>
      </w:pPr>
      <w:r>
        <w:rPr>
          <w:rFonts w:hint="eastAsia" w:ascii="楷体" w:hAnsi="楷体" w:eastAsia="楷体" w:cs="楷体"/>
          <w:sz w:val="24"/>
          <w:szCs w:val="18"/>
          <w:highlight w:val="none"/>
        </w:rPr>
        <w:t>尽管本公司已最大限度地采取有效措施保护投资人资料和交易活动的安全，但基于基金网上交易的特殊性，仍存在包括但不限于如下风险：</w:t>
      </w:r>
    </w:p>
    <w:p>
      <w:pPr>
        <w:snapToGrid w:val="0"/>
        <w:ind w:firstLine="480" w:firstLineChars="200"/>
        <w:rPr>
          <w:rFonts w:ascii="楷体" w:hAnsi="楷体" w:eastAsia="楷体" w:cs="楷体"/>
          <w:sz w:val="24"/>
          <w:szCs w:val="18"/>
          <w:highlight w:val="none"/>
        </w:rPr>
      </w:pPr>
      <w:r>
        <w:rPr>
          <w:rFonts w:hint="eastAsia" w:ascii="楷体" w:hAnsi="楷体" w:eastAsia="楷体" w:cs="楷体"/>
          <w:sz w:val="24"/>
          <w:szCs w:val="18"/>
          <w:highlight w:val="none"/>
        </w:rPr>
        <w:t>1、由于互联网是全球公开网络，并不受任何一个机构所控制，数据在互联网上传输的途径不是完全确定的，可能会受到非法干扰或侵入。在互联网上传输的数据有可能被某些未经许可的个人、团体或机构通过某种渠道获得或篡改。</w:t>
      </w:r>
    </w:p>
    <w:p>
      <w:pPr>
        <w:snapToGrid w:val="0"/>
        <w:ind w:firstLine="480" w:firstLineChars="200"/>
        <w:rPr>
          <w:rFonts w:ascii="楷体" w:hAnsi="楷体" w:eastAsia="楷体" w:cs="楷体"/>
          <w:sz w:val="24"/>
          <w:szCs w:val="18"/>
          <w:highlight w:val="none"/>
        </w:rPr>
      </w:pPr>
      <w:r>
        <w:rPr>
          <w:rFonts w:hint="eastAsia" w:ascii="楷体" w:hAnsi="楷体" w:eastAsia="楷体" w:cs="楷体"/>
          <w:sz w:val="24"/>
          <w:szCs w:val="18"/>
          <w:highlight w:val="none"/>
        </w:rPr>
        <w:t>2、互联网上的数据传输可能因通信繁忙出现延迟，或因其他原因出现中断、停顿或数据不完全、数据错误等情况，从而使交易出现错误、延迟、中断或停顿。</w:t>
      </w:r>
    </w:p>
    <w:p>
      <w:pPr>
        <w:snapToGrid w:val="0"/>
        <w:ind w:firstLine="480" w:firstLineChars="200"/>
        <w:rPr>
          <w:rFonts w:ascii="楷体" w:hAnsi="楷体" w:eastAsia="楷体" w:cs="楷体"/>
          <w:sz w:val="24"/>
          <w:szCs w:val="18"/>
          <w:highlight w:val="none"/>
        </w:rPr>
      </w:pPr>
      <w:r>
        <w:rPr>
          <w:rFonts w:hint="eastAsia" w:ascii="楷体" w:hAnsi="楷体" w:eastAsia="楷体" w:cs="楷体"/>
          <w:sz w:val="24"/>
          <w:szCs w:val="18"/>
          <w:highlight w:val="none"/>
        </w:rPr>
        <w:t>3、因地震、火灾、台风及其他各种不可抗力因素引起的停电、网络系统故障、电脑故障等原因可能造成投资人的经济损失。</w:t>
      </w:r>
    </w:p>
    <w:p>
      <w:pPr>
        <w:snapToGrid w:val="0"/>
        <w:ind w:firstLine="480" w:firstLineChars="200"/>
        <w:rPr>
          <w:rFonts w:ascii="楷体" w:hAnsi="楷体" w:eastAsia="楷体" w:cs="楷体"/>
          <w:sz w:val="24"/>
          <w:szCs w:val="18"/>
          <w:highlight w:val="none"/>
        </w:rPr>
      </w:pPr>
      <w:r>
        <w:rPr>
          <w:rFonts w:hint="eastAsia" w:ascii="楷体" w:hAnsi="楷体" w:eastAsia="楷体" w:cs="楷体"/>
          <w:sz w:val="24"/>
          <w:szCs w:val="18"/>
          <w:highlight w:val="none"/>
        </w:rPr>
        <w:t>4、互联网上发布的各种信息（包括但不限于分析、预测性的参考资料）可能出现错误并误导投资人。</w:t>
      </w:r>
    </w:p>
    <w:p>
      <w:pPr>
        <w:snapToGrid w:val="0"/>
        <w:ind w:firstLine="480" w:firstLineChars="200"/>
        <w:rPr>
          <w:rFonts w:ascii="楷体" w:hAnsi="楷体" w:eastAsia="楷体" w:cs="楷体"/>
          <w:sz w:val="24"/>
          <w:szCs w:val="18"/>
          <w:highlight w:val="none"/>
        </w:rPr>
      </w:pPr>
      <w:r>
        <w:rPr>
          <w:rFonts w:hint="eastAsia" w:ascii="楷体" w:hAnsi="楷体" w:eastAsia="楷体" w:cs="楷体"/>
          <w:sz w:val="24"/>
          <w:szCs w:val="18"/>
          <w:highlight w:val="none"/>
        </w:rPr>
        <w:t>5、投资人的基金网上交易身份可能会被泄露、仿冒或因投资人自身的疏忽造成账号或密码泄露，可能给投资人造成损失。</w:t>
      </w:r>
    </w:p>
    <w:p>
      <w:pPr>
        <w:snapToGrid w:val="0"/>
        <w:ind w:firstLine="480" w:firstLineChars="200"/>
        <w:rPr>
          <w:rFonts w:ascii="楷体" w:hAnsi="楷体" w:eastAsia="楷体" w:cs="楷体"/>
          <w:sz w:val="24"/>
          <w:szCs w:val="18"/>
          <w:highlight w:val="none"/>
        </w:rPr>
      </w:pPr>
      <w:r>
        <w:rPr>
          <w:rFonts w:hint="eastAsia" w:ascii="楷体" w:hAnsi="楷体" w:eastAsia="楷体" w:cs="楷体"/>
          <w:sz w:val="24"/>
          <w:szCs w:val="18"/>
          <w:highlight w:val="none"/>
        </w:rPr>
        <w:t>6、投资人使用的计算机可能因存在性能缺陷、质量问题、计算机病毒、硬件故障及其他原因、而对投资人的交易登陆、交易时间或交易数据产生影响，给投资人造成损失。</w:t>
      </w:r>
    </w:p>
    <w:p>
      <w:pPr>
        <w:widowControl/>
        <w:ind w:firstLine="482" w:firstLineChars="200"/>
        <w:outlineLvl w:val="2"/>
        <w:rPr>
          <w:rFonts w:ascii="楷体" w:hAnsi="楷体" w:eastAsia="楷体" w:cs="楷体"/>
          <w:b/>
          <w:color w:val="000000"/>
          <w:kern w:val="0"/>
          <w:sz w:val="24"/>
          <w:szCs w:val="18"/>
          <w:highlight w:val="none"/>
        </w:rPr>
      </w:pPr>
      <w:r>
        <w:rPr>
          <w:rFonts w:hint="eastAsia" w:ascii="楷体" w:hAnsi="楷体" w:eastAsia="楷体" w:cs="楷体"/>
          <w:b/>
          <w:color w:val="000000"/>
          <w:kern w:val="0"/>
          <w:sz w:val="24"/>
          <w:szCs w:val="18"/>
          <w:highlight w:val="none"/>
        </w:rPr>
        <w:t>（七）其他风险</w:t>
      </w:r>
    </w:p>
    <w:p>
      <w:pPr>
        <w:snapToGrid w:val="0"/>
        <w:ind w:firstLine="480" w:firstLineChars="200"/>
        <w:rPr>
          <w:rFonts w:ascii="楷体" w:hAnsi="楷体" w:eastAsia="楷体" w:cs="楷体"/>
          <w:sz w:val="24"/>
          <w:szCs w:val="18"/>
          <w:highlight w:val="none"/>
        </w:rPr>
      </w:pPr>
      <w:r>
        <w:rPr>
          <w:rFonts w:hint="eastAsia" w:ascii="楷体" w:hAnsi="楷体" w:eastAsia="楷体" w:cs="楷体"/>
          <w:sz w:val="24"/>
          <w:szCs w:val="18"/>
          <w:highlight w:val="none"/>
        </w:rPr>
        <w:t>1、基金上市交易投资风险。</w:t>
      </w:r>
      <w:r>
        <w:rPr>
          <w:rFonts w:hint="eastAsia" w:ascii="楷体" w:hAnsi="楷体" w:eastAsia="楷体" w:cs="楷体"/>
          <w:color w:val="000000"/>
          <w:kern w:val="0"/>
          <w:sz w:val="24"/>
          <w:szCs w:val="18"/>
          <w:highlight w:val="none"/>
        </w:rPr>
        <w:t>基金将在发行结束后在深圳证券交易所挂牌上市，由于上市期间可能因信息披露导致基金停牌，投资者在停牌期间不能买卖基金，产生风险；同时，可能因上市后交易对手不足导致基金流动性风险。</w:t>
      </w:r>
      <w:r>
        <w:rPr>
          <w:rFonts w:hint="eastAsia" w:ascii="楷体" w:hAnsi="楷体" w:eastAsia="楷体" w:cs="楷体"/>
          <w:sz w:val="24"/>
          <w:szCs w:val="18"/>
          <w:highlight w:val="none"/>
        </w:rPr>
        <w:t>基金上市交易后，基金份额的交易价格与其基金份额净值之间可能发生偏离并出现折/溢价交易的风险。</w:t>
      </w:r>
    </w:p>
    <w:p>
      <w:pPr>
        <w:snapToGrid w:val="0"/>
        <w:ind w:firstLine="480" w:firstLineChars="200"/>
        <w:rPr>
          <w:rFonts w:ascii="楷体" w:hAnsi="楷体" w:eastAsia="楷体" w:cs="楷体"/>
          <w:sz w:val="24"/>
          <w:szCs w:val="18"/>
          <w:highlight w:val="none"/>
        </w:rPr>
      </w:pPr>
      <w:r>
        <w:rPr>
          <w:rFonts w:hint="eastAsia" w:ascii="楷体" w:hAnsi="楷体" w:eastAsia="楷体" w:cs="楷体"/>
          <w:sz w:val="24"/>
          <w:szCs w:val="18"/>
          <w:highlight w:val="none"/>
        </w:rPr>
        <w:t>2、基金间转换所产生的风险。在基金间转换时，可能使相关的基金的规模发生较大改变，从而对转出和转入基金的原持有人利益产生影响。</w:t>
      </w:r>
    </w:p>
    <w:p>
      <w:pPr>
        <w:snapToGrid w:val="0"/>
        <w:ind w:firstLine="480" w:firstLineChars="200"/>
        <w:rPr>
          <w:rFonts w:ascii="楷体" w:hAnsi="楷体" w:eastAsia="楷体" w:cs="楷体"/>
          <w:sz w:val="24"/>
          <w:szCs w:val="18"/>
          <w:highlight w:val="none"/>
        </w:rPr>
      </w:pPr>
      <w:r>
        <w:rPr>
          <w:rFonts w:hint="eastAsia" w:ascii="楷体" w:hAnsi="楷体" w:eastAsia="楷体" w:cs="楷体"/>
          <w:sz w:val="24"/>
          <w:szCs w:val="18"/>
          <w:highlight w:val="none"/>
        </w:rPr>
        <w:t>3、</w:t>
      </w:r>
      <w:r>
        <w:rPr>
          <w:rFonts w:hint="eastAsia" w:ascii="楷体" w:hAnsi="楷体" w:eastAsia="楷体" w:cs="楷体"/>
          <w:color w:val="000000"/>
          <w:kern w:val="0"/>
          <w:sz w:val="24"/>
          <w:szCs w:val="18"/>
          <w:highlight w:val="none"/>
        </w:rPr>
        <w:t>随着符合基金投资理念的新投资工具的出现和发展，如果投资于这些工具，基金可能会面临一些特殊的风险。</w:t>
      </w:r>
    </w:p>
    <w:p>
      <w:pPr>
        <w:snapToGrid w:val="0"/>
        <w:ind w:firstLine="480" w:firstLineChars="200"/>
        <w:rPr>
          <w:rFonts w:ascii="楷体" w:hAnsi="楷体" w:eastAsia="楷体" w:cs="楷体"/>
          <w:sz w:val="24"/>
          <w:szCs w:val="18"/>
          <w:highlight w:val="none"/>
        </w:rPr>
      </w:pPr>
      <w:r>
        <w:rPr>
          <w:rFonts w:hint="eastAsia" w:ascii="楷体" w:hAnsi="楷体" w:eastAsia="楷体" w:cs="楷体"/>
          <w:sz w:val="24"/>
          <w:szCs w:val="18"/>
          <w:highlight w:val="none"/>
        </w:rPr>
        <w:t>4、</w:t>
      </w:r>
      <w:r>
        <w:rPr>
          <w:rFonts w:hint="eastAsia" w:ascii="楷体" w:hAnsi="楷体" w:eastAsia="楷体" w:cs="楷体"/>
          <w:color w:val="000000"/>
          <w:kern w:val="0"/>
          <w:sz w:val="24"/>
          <w:szCs w:val="18"/>
          <w:highlight w:val="none"/>
        </w:rPr>
        <w:t>因基金业务快速发展而在制度建设、人员配备、内控制度建立等方面不完善而产生的风险。</w:t>
      </w:r>
    </w:p>
    <w:p>
      <w:pPr>
        <w:ind w:firstLine="480" w:firstLineChars="200"/>
        <w:rPr>
          <w:rFonts w:ascii="楷体" w:hAnsi="楷体" w:eastAsia="楷体" w:cs="楷体"/>
          <w:color w:val="000000"/>
          <w:kern w:val="0"/>
          <w:sz w:val="24"/>
          <w:szCs w:val="18"/>
          <w:highlight w:val="none"/>
        </w:rPr>
      </w:pPr>
      <w:r>
        <w:rPr>
          <w:rFonts w:hint="eastAsia" w:ascii="楷体" w:hAnsi="楷体" w:eastAsia="楷体" w:cs="楷体"/>
          <w:color w:val="000000"/>
          <w:kern w:val="0"/>
          <w:sz w:val="24"/>
          <w:szCs w:val="18"/>
          <w:highlight w:val="none"/>
        </w:rPr>
        <w:t>5、战争、自然灾害等不可抗力可能导致基金资产的损失，影响基金收益水平，从而带来风险。</w:t>
      </w:r>
    </w:p>
    <w:p>
      <w:pPr>
        <w:ind w:firstLine="480" w:firstLineChars="200"/>
        <w:rPr>
          <w:rFonts w:ascii="楷体" w:hAnsi="楷体" w:eastAsia="楷体" w:cs="楷体"/>
          <w:sz w:val="24"/>
          <w:szCs w:val="18"/>
          <w:highlight w:val="none"/>
        </w:rPr>
      </w:pPr>
      <w:r>
        <w:rPr>
          <w:rFonts w:hint="eastAsia" w:ascii="楷体" w:hAnsi="楷体" w:eastAsia="楷体" w:cs="楷体"/>
          <w:color w:val="000000"/>
          <w:kern w:val="0"/>
          <w:sz w:val="24"/>
          <w:szCs w:val="18"/>
          <w:highlight w:val="none"/>
        </w:rPr>
        <w:t>6、其他不可预知、不可防范的风险。</w:t>
      </w:r>
    </w:p>
    <w:p>
      <w:pPr>
        <w:widowControl/>
        <w:ind w:firstLine="482" w:firstLineChars="200"/>
        <w:outlineLvl w:val="1"/>
        <w:rPr>
          <w:rFonts w:ascii="楷体" w:hAnsi="楷体" w:eastAsia="楷体" w:cs="楷体"/>
          <w:b/>
          <w:color w:val="000000"/>
          <w:kern w:val="0"/>
          <w:sz w:val="24"/>
          <w:szCs w:val="18"/>
          <w:highlight w:val="none"/>
        </w:rPr>
      </w:pPr>
      <w:r>
        <w:rPr>
          <w:rFonts w:hint="eastAsia" w:ascii="楷体" w:hAnsi="楷体" w:eastAsia="楷体" w:cs="楷体"/>
          <w:b/>
          <w:color w:val="000000"/>
          <w:kern w:val="0"/>
          <w:sz w:val="24"/>
          <w:szCs w:val="18"/>
          <w:highlight w:val="none"/>
        </w:rPr>
        <w:t>二、可能直接导致超过原始本金损失的事项</w:t>
      </w:r>
    </w:p>
    <w:p>
      <w:pPr>
        <w:snapToGrid w:val="0"/>
        <w:ind w:firstLine="480" w:firstLineChars="200"/>
        <w:rPr>
          <w:rFonts w:ascii="楷体" w:hAnsi="楷体" w:eastAsia="楷体" w:cs="楷体"/>
          <w:sz w:val="24"/>
          <w:szCs w:val="18"/>
          <w:highlight w:val="none"/>
        </w:rPr>
      </w:pPr>
      <w:r>
        <w:rPr>
          <w:rFonts w:hint="eastAsia" w:ascii="楷体" w:hAnsi="楷体" w:eastAsia="楷体" w:cs="楷体"/>
          <w:sz w:val="24"/>
          <w:szCs w:val="18"/>
          <w:highlight w:val="none"/>
        </w:rPr>
        <w:t>在现行法律法规下，通过本公司场外认/申购、赎回公募基金，不存在此种风险。</w:t>
      </w:r>
    </w:p>
    <w:p>
      <w:pPr>
        <w:widowControl/>
        <w:ind w:firstLine="482" w:firstLineChars="200"/>
        <w:outlineLvl w:val="1"/>
        <w:rPr>
          <w:rFonts w:ascii="楷体" w:hAnsi="楷体" w:eastAsia="楷体" w:cs="楷体"/>
          <w:b/>
          <w:color w:val="000000"/>
          <w:kern w:val="0"/>
          <w:sz w:val="24"/>
          <w:szCs w:val="18"/>
          <w:highlight w:val="none"/>
        </w:rPr>
      </w:pPr>
      <w:r>
        <w:rPr>
          <w:rFonts w:hint="eastAsia" w:ascii="楷体" w:hAnsi="楷体" w:eastAsia="楷体" w:cs="楷体"/>
          <w:b/>
          <w:color w:val="000000"/>
          <w:kern w:val="0"/>
          <w:sz w:val="24"/>
          <w:szCs w:val="18"/>
          <w:highlight w:val="none"/>
        </w:rPr>
        <w:t>三、因经营机构的业务或者财产状况变化，可能导致本金或者原始本金亏损的事项</w:t>
      </w:r>
    </w:p>
    <w:p>
      <w:pPr>
        <w:snapToGrid w:val="0"/>
        <w:ind w:firstLine="480" w:firstLineChars="200"/>
        <w:rPr>
          <w:rFonts w:ascii="楷体" w:hAnsi="楷体" w:eastAsia="楷体" w:cs="楷体"/>
          <w:sz w:val="24"/>
          <w:szCs w:val="18"/>
          <w:highlight w:val="none"/>
        </w:rPr>
      </w:pPr>
      <w:r>
        <w:rPr>
          <w:rFonts w:hint="eastAsia" w:ascii="楷体" w:hAnsi="楷体" w:eastAsia="楷体" w:cs="楷体"/>
          <w:sz w:val="24"/>
          <w:szCs w:val="18"/>
          <w:highlight w:val="none"/>
        </w:rPr>
        <w:t>基金销售机构因停业、解散、撤销、破产，或者被中国证监会、中国基金业协会撤销相关业务许可、责令停业整顿等原因不能履行职责，可能给投资者人带来一定的风险。</w:t>
      </w:r>
    </w:p>
    <w:p>
      <w:pPr>
        <w:widowControl/>
        <w:ind w:firstLine="482" w:firstLineChars="200"/>
        <w:outlineLvl w:val="1"/>
        <w:rPr>
          <w:rFonts w:ascii="楷体" w:hAnsi="楷体" w:eastAsia="楷体" w:cs="楷体"/>
          <w:b/>
          <w:color w:val="000000"/>
          <w:kern w:val="0"/>
          <w:sz w:val="24"/>
          <w:szCs w:val="18"/>
          <w:highlight w:val="none"/>
        </w:rPr>
      </w:pPr>
      <w:r>
        <w:rPr>
          <w:rFonts w:hint="eastAsia" w:ascii="楷体" w:hAnsi="楷体" w:eastAsia="楷体" w:cs="楷体"/>
          <w:b/>
          <w:color w:val="000000"/>
          <w:kern w:val="0"/>
          <w:sz w:val="24"/>
          <w:szCs w:val="18"/>
          <w:highlight w:val="none"/>
        </w:rPr>
        <w:t>四、因经营机构的业务或者财产状况变化，影响客户判断的重要事由</w:t>
      </w:r>
    </w:p>
    <w:p>
      <w:pPr>
        <w:snapToGrid w:val="0"/>
        <w:ind w:firstLine="480" w:firstLineChars="200"/>
        <w:rPr>
          <w:rFonts w:ascii="楷体" w:hAnsi="楷体" w:eastAsia="楷体" w:cs="楷体"/>
          <w:sz w:val="24"/>
          <w:szCs w:val="18"/>
          <w:highlight w:val="none"/>
        </w:rPr>
      </w:pPr>
      <w:r>
        <w:rPr>
          <w:rFonts w:hint="eastAsia" w:ascii="楷体" w:hAnsi="楷体" w:eastAsia="楷体" w:cs="楷体"/>
          <w:sz w:val="24"/>
          <w:szCs w:val="18"/>
          <w:highlight w:val="none"/>
        </w:rPr>
        <w:t>本公司经营业务包括但不限于公募基金销售、私募基金销售，其他主营业务因违反国家法律、法规而被相关监管机构警告、责令改正等，可能会影响投资者判断。</w:t>
      </w:r>
    </w:p>
    <w:p>
      <w:pPr>
        <w:widowControl/>
        <w:ind w:firstLine="482" w:firstLineChars="200"/>
        <w:outlineLvl w:val="1"/>
        <w:rPr>
          <w:rFonts w:ascii="楷体" w:hAnsi="楷体" w:eastAsia="楷体" w:cs="楷体"/>
          <w:b/>
          <w:color w:val="000000"/>
          <w:kern w:val="0"/>
          <w:sz w:val="24"/>
          <w:szCs w:val="18"/>
          <w:highlight w:val="none"/>
        </w:rPr>
      </w:pPr>
      <w:r>
        <w:rPr>
          <w:rFonts w:hint="eastAsia" w:ascii="楷体" w:hAnsi="楷体" w:eastAsia="楷体" w:cs="楷体"/>
          <w:b/>
          <w:color w:val="000000"/>
          <w:kern w:val="0"/>
          <w:sz w:val="24"/>
          <w:szCs w:val="18"/>
          <w:highlight w:val="none"/>
        </w:rPr>
        <w:t>五、限制销售对象权利行使期限或者可解除合同期限等全部限制内容</w:t>
      </w:r>
    </w:p>
    <w:p>
      <w:pPr>
        <w:snapToGrid w:val="0"/>
        <w:ind w:firstLine="480" w:firstLineChars="200"/>
        <w:rPr>
          <w:rFonts w:ascii="楷体" w:hAnsi="楷体" w:eastAsia="楷体" w:cs="楷体"/>
          <w:sz w:val="24"/>
          <w:szCs w:val="18"/>
          <w:highlight w:val="none"/>
        </w:rPr>
      </w:pPr>
      <w:r>
        <w:rPr>
          <w:rFonts w:hint="eastAsia" w:ascii="楷体" w:hAnsi="楷体" w:eastAsia="楷体" w:cs="楷体"/>
          <w:sz w:val="24"/>
          <w:szCs w:val="18"/>
          <w:highlight w:val="none"/>
        </w:rPr>
        <w:t>1、在基金合同约定的范围内，拒绝或暂停受理申购和赎回申请。</w:t>
      </w:r>
    </w:p>
    <w:p>
      <w:pPr>
        <w:snapToGrid w:val="0"/>
        <w:ind w:firstLine="480" w:firstLineChars="200"/>
        <w:rPr>
          <w:rFonts w:ascii="楷体" w:hAnsi="楷体" w:eastAsia="楷体" w:cs="楷体"/>
          <w:sz w:val="24"/>
          <w:szCs w:val="18"/>
          <w:highlight w:val="none"/>
        </w:rPr>
      </w:pPr>
      <w:r>
        <w:rPr>
          <w:rFonts w:hint="eastAsia" w:ascii="楷体" w:hAnsi="楷体" w:eastAsia="楷体" w:cs="楷体"/>
          <w:sz w:val="24"/>
          <w:szCs w:val="18"/>
          <w:highlight w:val="none"/>
        </w:rPr>
        <w:t>2、如果基金募集期限届满，未满足基金备案条件则存在基金不成立风险。</w:t>
      </w:r>
    </w:p>
    <w:p>
      <w:pPr>
        <w:snapToGrid w:val="0"/>
        <w:ind w:firstLine="480" w:firstLineChars="200"/>
        <w:rPr>
          <w:rFonts w:ascii="楷体" w:hAnsi="楷体" w:eastAsia="楷体" w:cs="楷体"/>
          <w:sz w:val="24"/>
          <w:szCs w:val="18"/>
          <w:highlight w:val="none"/>
        </w:rPr>
      </w:pPr>
      <w:r>
        <w:rPr>
          <w:rFonts w:hint="eastAsia" w:ascii="楷体" w:hAnsi="楷体" w:eastAsia="楷体" w:cs="楷体"/>
          <w:sz w:val="24"/>
          <w:szCs w:val="18"/>
          <w:highlight w:val="none"/>
        </w:rPr>
        <w:t>3、当基金份额持有人将份额转向场外交易后导致场内的基金份额或持有人数不满足上市条件时，基金存在暂停上市或终止上市的可能。</w:t>
      </w:r>
    </w:p>
    <w:p>
      <w:pPr>
        <w:snapToGrid w:val="0"/>
        <w:ind w:firstLine="480" w:firstLineChars="200"/>
        <w:rPr>
          <w:rFonts w:ascii="楷体" w:hAnsi="楷体" w:eastAsia="楷体" w:cs="楷体"/>
          <w:sz w:val="24"/>
          <w:szCs w:val="18"/>
          <w:highlight w:val="none"/>
        </w:rPr>
      </w:pPr>
      <w:r>
        <w:rPr>
          <w:rFonts w:hint="eastAsia" w:ascii="楷体" w:hAnsi="楷体" w:eastAsia="楷体" w:cs="楷体"/>
          <w:sz w:val="24"/>
          <w:szCs w:val="18"/>
          <w:highlight w:val="none"/>
        </w:rPr>
        <w:t>4、对定期开放基金，基金每次开放期届满，若出现基金资产净值低于2亿元或者持有人人数少于200人的情况，基金管理人宣布基金合同终止并履行清算程序，存在着基金无法继续存续的风险。</w:t>
      </w:r>
    </w:p>
    <w:p>
      <w:pPr>
        <w:widowControl/>
        <w:ind w:firstLine="482" w:firstLineChars="200"/>
        <w:outlineLvl w:val="1"/>
        <w:rPr>
          <w:rFonts w:ascii="楷体" w:hAnsi="楷体" w:eastAsia="楷体" w:cs="楷体"/>
          <w:b/>
          <w:color w:val="000000"/>
          <w:kern w:val="0"/>
          <w:sz w:val="24"/>
          <w:szCs w:val="18"/>
          <w:highlight w:val="none"/>
        </w:rPr>
      </w:pPr>
      <w:r>
        <w:rPr>
          <w:rFonts w:hint="eastAsia" w:ascii="楷体" w:hAnsi="楷体" w:eastAsia="楷体" w:cs="楷体"/>
          <w:b/>
          <w:color w:val="000000"/>
          <w:kern w:val="0"/>
          <w:sz w:val="24"/>
          <w:szCs w:val="18"/>
          <w:highlight w:val="none"/>
        </w:rPr>
        <w:t>六、《证券期货投资者适当性管理办法》第二十九条规定的适当性匹配意见</w:t>
      </w:r>
    </w:p>
    <w:p>
      <w:pPr>
        <w:ind w:firstLine="480" w:firstLineChars="200"/>
        <w:rPr>
          <w:rFonts w:ascii="楷体" w:hAnsi="楷体" w:eastAsia="楷体" w:cs="楷体"/>
          <w:sz w:val="24"/>
          <w:szCs w:val="18"/>
          <w:highlight w:val="none"/>
        </w:rPr>
      </w:pPr>
      <w:r>
        <w:rPr>
          <w:rFonts w:hint="eastAsia" w:ascii="楷体" w:hAnsi="楷体" w:eastAsia="楷体" w:cs="楷体"/>
          <w:sz w:val="24"/>
          <w:szCs w:val="18"/>
          <w:highlight w:val="none"/>
        </w:rPr>
        <w:t>本公司已经对基金投资人的风险承受能力进行调查和评价，并根据基金投资人的风险承受能力推荐相应的基金品种，但本公司所做的推荐仅供投资人参考，投资人应根据自身风险承受能力选择基金产品并自行承担投资基金的风险。</w:t>
      </w:r>
    </w:p>
    <w:p>
      <w:pPr>
        <w:ind w:firstLine="360" w:firstLineChars="200"/>
        <w:rPr>
          <w:rStyle w:val="52"/>
          <w:rFonts w:ascii="楷体" w:hAnsi="楷体" w:eastAsia="楷体" w:cs="楷体"/>
          <w:sz w:val="18"/>
          <w:szCs w:val="18"/>
          <w:highlight w:val="none"/>
        </w:rPr>
      </w:pPr>
    </w:p>
    <w:p>
      <w:pPr>
        <w:widowControl/>
        <w:jc w:val="left"/>
        <w:rPr>
          <w:rFonts w:ascii="楷体" w:hAnsi="楷体" w:eastAsia="楷体" w:cs="楷体"/>
          <w:b/>
          <w:bCs/>
          <w:sz w:val="30"/>
          <w:szCs w:val="30"/>
          <w:highlight w:val="none"/>
        </w:rPr>
      </w:pPr>
      <w:r>
        <w:rPr>
          <w:rFonts w:ascii="楷体" w:hAnsi="楷体" w:eastAsia="楷体" w:cs="楷体"/>
          <w:b/>
          <w:bCs/>
          <w:sz w:val="30"/>
          <w:szCs w:val="30"/>
          <w:highlight w:val="none"/>
        </w:rPr>
        <w:br w:type="page"/>
      </w:r>
    </w:p>
    <w:p>
      <w:pPr>
        <w:widowControl/>
        <w:jc w:val="center"/>
        <w:outlineLvl w:val="0"/>
        <w:rPr>
          <w:rFonts w:ascii="黑体" w:hAnsi="黑体" w:eastAsia="黑体" w:cs="仿宋"/>
          <w:b/>
          <w:bCs/>
          <w:color w:val="000000"/>
          <w:kern w:val="0"/>
          <w:sz w:val="36"/>
          <w:szCs w:val="36"/>
          <w:highlight w:val="none"/>
          <w:lang w:bidi="ar"/>
        </w:rPr>
      </w:pPr>
    </w:p>
    <w:p>
      <w:pPr>
        <w:widowControl/>
        <w:jc w:val="center"/>
        <w:outlineLvl w:val="0"/>
        <w:rPr>
          <w:rFonts w:ascii="黑体" w:hAnsi="黑体" w:eastAsia="黑体" w:cs="仿宋"/>
          <w:b/>
          <w:bCs/>
          <w:color w:val="000000"/>
          <w:kern w:val="0"/>
          <w:sz w:val="36"/>
          <w:szCs w:val="36"/>
          <w:highlight w:val="none"/>
          <w:lang w:bidi="ar"/>
        </w:rPr>
      </w:pPr>
      <w:r>
        <w:rPr>
          <w:rFonts w:hint="eastAsia" w:ascii="黑体" w:hAnsi="黑体" w:eastAsia="黑体" w:cs="仿宋"/>
          <w:b/>
          <w:bCs/>
          <w:color w:val="000000"/>
          <w:kern w:val="0"/>
          <w:sz w:val="36"/>
          <w:szCs w:val="36"/>
          <w:highlight w:val="none"/>
          <w:lang w:bidi="ar"/>
        </w:rPr>
        <w:t>客户签署页</w:t>
      </w:r>
    </w:p>
    <w:p>
      <w:pPr>
        <w:widowControl/>
        <w:jc w:val="center"/>
        <w:outlineLvl w:val="0"/>
        <w:rPr>
          <w:rFonts w:ascii="黑体" w:hAnsi="黑体" w:eastAsia="黑体" w:cs="仿宋"/>
          <w:b/>
          <w:bCs/>
          <w:color w:val="000000"/>
          <w:kern w:val="0"/>
          <w:sz w:val="36"/>
          <w:szCs w:val="36"/>
          <w:highlight w:val="none"/>
          <w:lang w:bidi="ar"/>
        </w:rPr>
      </w:pPr>
    </w:p>
    <w:p>
      <w:pPr>
        <w:tabs>
          <w:tab w:val="left" w:pos="9015"/>
        </w:tabs>
        <w:ind w:right="105" w:rightChars="50"/>
        <w:jc w:val="left"/>
        <w:rPr>
          <w:rFonts w:ascii="楷体" w:hAnsi="楷体" w:eastAsia="楷体" w:cs="楷体"/>
          <w:sz w:val="24"/>
          <w:szCs w:val="24"/>
          <w:highlight w:val="none"/>
        </w:rPr>
      </w:pPr>
      <w:r>
        <w:rPr>
          <w:rFonts w:hint="eastAsia" w:ascii="楷体" w:hAnsi="楷体" w:eastAsia="楷体" w:cs="楷体"/>
          <w:sz w:val="24"/>
          <w:szCs w:val="24"/>
          <w:highlight w:val="none"/>
        </w:rPr>
        <w:t>投资人声明：</w:t>
      </w:r>
    </w:p>
    <w:p>
      <w:pPr>
        <w:tabs>
          <w:tab w:val="left" w:pos="9015"/>
        </w:tabs>
        <w:spacing w:line="360" w:lineRule="auto"/>
        <w:ind w:firstLine="480" w:firstLineChars="200"/>
        <w:rPr>
          <w:rFonts w:ascii="楷体" w:hAnsi="楷体" w:eastAsia="楷体" w:cs="楷体"/>
          <w:sz w:val="24"/>
          <w:szCs w:val="24"/>
          <w:highlight w:val="none"/>
        </w:rPr>
      </w:pPr>
      <w:r>
        <w:rPr>
          <w:rFonts w:hint="eastAsia" w:ascii="楷体" w:hAnsi="楷体" w:eastAsia="楷体" w:cs="楷体"/>
          <w:sz w:val="24"/>
          <w:szCs w:val="24"/>
          <w:highlight w:val="none"/>
        </w:rPr>
        <w:t>本人/本机构/本产品管理人（以下统称“本人”）已仔细阅读并完全理解《基金销售账户开户须知》文件中的所有条款与内容，了解国家有关基金的法律、法规和相关政策，充分了解基金交易的各项投资风险，选择与自身风险承受能力相适应的基金，并特别关注了风险提示部分。</w:t>
      </w:r>
    </w:p>
    <w:p>
      <w:pPr>
        <w:tabs>
          <w:tab w:val="left" w:pos="9015"/>
        </w:tabs>
        <w:spacing w:line="360" w:lineRule="auto"/>
        <w:ind w:firstLine="480" w:firstLineChars="200"/>
        <w:rPr>
          <w:rFonts w:ascii="楷体" w:hAnsi="楷体" w:eastAsia="楷体" w:cs="楷体"/>
          <w:sz w:val="24"/>
          <w:szCs w:val="24"/>
          <w:highlight w:val="none"/>
        </w:rPr>
      </w:pPr>
      <w:r>
        <w:rPr>
          <w:rFonts w:hint="eastAsia" w:ascii="楷体" w:hAnsi="楷体" w:eastAsia="楷体" w:cs="楷体"/>
          <w:sz w:val="24"/>
          <w:szCs w:val="24"/>
          <w:highlight w:val="none"/>
        </w:rPr>
        <w:t>本人已充分认识银河期货有限公司承诺投资人利益优先，以诚实信用、勤勉尽责的态度为投资人提供服务，但不保证基金一定盈利，也不保证基金的最低收益。本人已不存在任何疑问或异议，充分了解并清楚知晓基金相关风险。</w:t>
      </w:r>
    </w:p>
    <w:p>
      <w:pPr>
        <w:tabs>
          <w:tab w:val="left" w:pos="9015"/>
        </w:tabs>
        <w:spacing w:line="360" w:lineRule="auto"/>
        <w:ind w:firstLine="480" w:firstLineChars="200"/>
        <w:rPr>
          <w:rFonts w:ascii="楷体" w:hAnsi="楷体" w:eastAsia="楷体" w:cs="楷体"/>
          <w:sz w:val="24"/>
          <w:szCs w:val="24"/>
          <w:highlight w:val="none"/>
        </w:rPr>
      </w:pPr>
      <w:r>
        <w:rPr>
          <w:rFonts w:hint="eastAsia" w:ascii="楷体" w:hAnsi="楷体" w:eastAsia="楷体" w:cs="楷体"/>
          <w:sz w:val="24"/>
          <w:szCs w:val="24"/>
          <w:highlight w:val="none"/>
        </w:rPr>
        <w:t>本人自愿遵守与基金投资相关的法律、法规和规范性文件，自愿为账户名称</w:t>
      </w:r>
      <w:r>
        <w:rPr>
          <w:rFonts w:hint="eastAsia" w:ascii="楷体" w:hAnsi="楷体" w:eastAsia="楷体" w:cs="楷体"/>
          <w:sz w:val="24"/>
          <w:szCs w:val="24"/>
          <w:highlight w:val="none"/>
          <w:u w:val="single"/>
        </w:rPr>
        <w:t xml:space="preserve">  </w:t>
      </w:r>
      <w:r>
        <w:rPr>
          <w:rFonts w:ascii="楷体" w:hAnsi="楷体" w:eastAsia="楷体" w:cs="楷体"/>
          <w:sz w:val="24"/>
          <w:szCs w:val="24"/>
          <w:highlight w:val="none"/>
          <w:u w:val="single"/>
        </w:rPr>
        <w:t xml:space="preserve"> </w:t>
      </w:r>
      <w:r>
        <w:rPr>
          <w:rFonts w:hint="eastAsia" w:ascii="楷体" w:hAnsi="楷体" w:eastAsia="楷体" w:cs="楷体"/>
          <w:sz w:val="24"/>
          <w:szCs w:val="24"/>
          <w:highlight w:val="none"/>
          <w:u w:val="single"/>
        </w:rPr>
        <w:t xml:space="preserve">                              </w:t>
      </w:r>
      <w:r>
        <w:rPr>
          <w:rFonts w:hint="eastAsia" w:ascii="楷体" w:hAnsi="楷体" w:eastAsia="楷体" w:cs="楷体"/>
          <w:sz w:val="24"/>
          <w:szCs w:val="24"/>
          <w:highlight w:val="none"/>
        </w:rPr>
        <w:t>，证件号码</w:t>
      </w:r>
      <w:r>
        <w:rPr>
          <w:rFonts w:hint="eastAsia" w:ascii="楷体" w:hAnsi="楷体" w:eastAsia="楷体" w:cs="楷体"/>
          <w:sz w:val="24"/>
          <w:szCs w:val="24"/>
          <w:highlight w:val="none"/>
          <w:u w:val="single"/>
        </w:rPr>
        <w:t xml:space="preserve">              </w:t>
      </w:r>
      <w:r>
        <w:rPr>
          <w:rFonts w:ascii="楷体" w:hAnsi="楷体" w:eastAsia="楷体" w:cs="楷体"/>
          <w:sz w:val="24"/>
          <w:szCs w:val="24"/>
          <w:highlight w:val="none"/>
          <w:u w:val="single"/>
        </w:rPr>
        <w:t xml:space="preserve">        </w:t>
      </w:r>
      <w:r>
        <w:rPr>
          <w:rFonts w:hint="eastAsia" w:ascii="楷体" w:hAnsi="楷体" w:eastAsia="楷体" w:cs="楷体"/>
          <w:sz w:val="24"/>
          <w:szCs w:val="24"/>
          <w:highlight w:val="none"/>
          <w:u w:val="single"/>
        </w:rPr>
        <w:t xml:space="preserve">       </w:t>
      </w:r>
      <w:r>
        <w:rPr>
          <w:rFonts w:hint="eastAsia" w:ascii="楷体" w:hAnsi="楷体" w:eastAsia="楷体" w:cs="楷体"/>
          <w:sz w:val="24"/>
          <w:szCs w:val="24"/>
          <w:highlight w:val="none"/>
        </w:rPr>
        <w:t>，申请开通基金销售账户并自愿承担投资风险，签字/签章以示本人/本机构/本产品管理人承诺及申请意愿。</w:t>
      </w:r>
    </w:p>
    <w:p>
      <w:pPr>
        <w:tabs>
          <w:tab w:val="left" w:pos="9015"/>
        </w:tabs>
        <w:spacing w:line="360" w:lineRule="auto"/>
        <w:ind w:firstLine="482" w:firstLineChars="200"/>
        <w:rPr>
          <w:rFonts w:ascii="楷体" w:hAnsi="楷体" w:eastAsia="楷体" w:cs="楷体"/>
          <w:b/>
          <w:sz w:val="24"/>
          <w:szCs w:val="24"/>
          <w:highlight w:val="none"/>
        </w:rPr>
      </w:pPr>
      <w:r>
        <w:rPr>
          <w:rFonts w:hint="eastAsia" w:ascii="楷体" w:hAnsi="楷体" w:eastAsia="楷体" w:cs="楷体"/>
          <w:b/>
          <w:sz w:val="24"/>
          <w:szCs w:val="24"/>
          <w:highlight w:val="none"/>
        </w:rPr>
        <w:t>请您仔细阅读《基金销售账户开户须知》各项内容并在下列括号内填写“是”或者“否”：</w:t>
      </w:r>
    </w:p>
    <w:p>
      <w:pPr>
        <w:tabs>
          <w:tab w:val="left" w:pos="9015"/>
        </w:tabs>
        <w:spacing w:line="360" w:lineRule="auto"/>
        <w:ind w:firstLine="480" w:firstLineChars="200"/>
        <w:rPr>
          <w:rFonts w:ascii="楷体" w:hAnsi="楷体" w:eastAsia="楷体" w:cs="楷体"/>
          <w:sz w:val="24"/>
          <w:szCs w:val="24"/>
          <w:highlight w:val="none"/>
        </w:rPr>
      </w:pPr>
      <w:r>
        <w:rPr>
          <w:rFonts w:hint="eastAsia" w:ascii="楷体" w:hAnsi="楷体" w:eastAsia="楷体" w:cs="楷体"/>
          <w:sz w:val="24"/>
          <w:szCs w:val="24"/>
          <w:highlight w:val="none"/>
        </w:rPr>
        <w:t xml:space="preserve">（ </w:t>
      </w:r>
      <w:r>
        <w:rPr>
          <w:rFonts w:ascii="楷体" w:hAnsi="楷体" w:eastAsia="楷体" w:cs="楷体"/>
          <w:sz w:val="24"/>
          <w:szCs w:val="24"/>
          <w:highlight w:val="none"/>
        </w:rPr>
        <w:t xml:space="preserve">    </w:t>
      </w:r>
      <w:r>
        <w:rPr>
          <w:rFonts w:hint="eastAsia" w:ascii="楷体" w:hAnsi="楷体" w:eastAsia="楷体" w:cs="楷体"/>
          <w:sz w:val="24"/>
          <w:szCs w:val="24"/>
          <w:highlight w:val="none"/>
        </w:rPr>
        <w:t>）是否已阅读《证券投资基金投资人权益须知》并已知悉其内容；</w:t>
      </w:r>
    </w:p>
    <w:p>
      <w:pPr>
        <w:tabs>
          <w:tab w:val="left" w:pos="9015"/>
        </w:tabs>
        <w:spacing w:line="360" w:lineRule="auto"/>
        <w:ind w:firstLine="480" w:firstLineChars="200"/>
        <w:rPr>
          <w:rFonts w:ascii="楷体" w:hAnsi="楷体" w:eastAsia="楷体" w:cs="楷体"/>
          <w:sz w:val="24"/>
          <w:szCs w:val="24"/>
          <w:highlight w:val="none"/>
        </w:rPr>
      </w:pPr>
      <w:r>
        <w:rPr>
          <w:rFonts w:hint="eastAsia" w:ascii="楷体" w:hAnsi="楷体" w:eastAsia="楷体" w:cs="楷体"/>
          <w:sz w:val="24"/>
          <w:szCs w:val="24"/>
          <w:highlight w:val="none"/>
        </w:rPr>
        <w:t xml:space="preserve">（ </w:t>
      </w:r>
      <w:r>
        <w:rPr>
          <w:rFonts w:ascii="楷体" w:hAnsi="楷体" w:eastAsia="楷体" w:cs="楷体"/>
          <w:sz w:val="24"/>
          <w:szCs w:val="24"/>
          <w:highlight w:val="none"/>
        </w:rPr>
        <w:t xml:space="preserve">    </w:t>
      </w:r>
      <w:r>
        <w:rPr>
          <w:rFonts w:hint="eastAsia" w:ascii="楷体" w:hAnsi="楷体" w:eastAsia="楷体" w:cs="楷体"/>
          <w:sz w:val="24"/>
          <w:szCs w:val="24"/>
          <w:highlight w:val="none"/>
        </w:rPr>
        <w:t>）是否已阅读《基金风险揭示及售前告知书》并已知悉其内容。</w:t>
      </w:r>
    </w:p>
    <w:p>
      <w:pPr>
        <w:tabs>
          <w:tab w:val="left" w:pos="9015"/>
        </w:tabs>
        <w:spacing w:line="360" w:lineRule="auto"/>
        <w:ind w:right="105" w:rightChars="50"/>
        <w:jc w:val="left"/>
        <w:rPr>
          <w:rFonts w:ascii="楷体" w:hAnsi="楷体" w:eastAsia="楷体" w:cs="楷体"/>
          <w:sz w:val="24"/>
          <w:szCs w:val="24"/>
          <w:highlight w:val="none"/>
        </w:rPr>
      </w:pPr>
    </w:p>
    <w:p>
      <w:pPr>
        <w:tabs>
          <w:tab w:val="left" w:pos="9015"/>
        </w:tabs>
        <w:spacing w:line="360" w:lineRule="auto"/>
        <w:ind w:right="105" w:rightChars="50"/>
        <w:jc w:val="left"/>
        <w:rPr>
          <w:rFonts w:ascii="楷体" w:hAnsi="楷体" w:eastAsia="楷体" w:cs="楷体"/>
          <w:sz w:val="24"/>
          <w:szCs w:val="24"/>
          <w:highlight w:val="none"/>
        </w:rPr>
      </w:pPr>
    </w:p>
    <w:p>
      <w:pPr>
        <w:tabs>
          <w:tab w:val="left" w:pos="9015"/>
        </w:tabs>
        <w:spacing w:line="360" w:lineRule="auto"/>
        <w:ind w:right="105" w:rightChars="50"/>
        <w:jc w:val="center"/>
        <w:rPr>
          <w:rFonts w:ascii="楷体" w:hAnsi="楷体" w:eastAsia="楷体" w:cs="楷体"/>
          <w:sz w:val="24"/>
          <w:szCs w:val="24"/>
          <w:highlight w:val="none"/>
        </w:rPr>
      </w:pPr>
      <w:r>
        <w:rPr>
          <w:rFonts w:hint="eastAsia" w:ascii="楷体" w:hAnsi="楷体" w:eastAsia="楷体" w:cs="楷体"/>
          <w:sz w:val="24"/>
          <w:szCs w:val="24"/>
          <w:highlight w:val="none"/>
        </w:rPr>
        <w:t>投资者（签字/盖章）：</w:t>
      </w:r>
    </w:p>
    <w:p>
      <w:pPr>
        <w:tabs>
          <w:tab w:val="left" w:pos="9015"/>
        </w:tabs>
        <w:spacing w:line="360" w:lineRule="auto"/>
        <w:ind w:right="105" w:rightChars="50"/>
        <w:jc w:val="center"/>
        <w:rPr>
          <w:rFonts w:ascii="楷体" w:hAnsi="楷体" w:eastAsia="楷体" w:cs="楷体"/>
          <w:sz w:val="24"/>
          <w:szCs w:val="24"/>
          <w:highlight w:val="none"/>
        </w:rPr>
      </w:pPr>
    </w:p>
    <w:p>
      <w:pPr>
        <w:tabs>
          <w:tab w:val="left" w:pos="9015"/>
        </w:tabs>
        <w:spacing w:line="360" w:lineRule="auto"/>
        <w:ind w:right="105" w:rightChars="50"/>
        <w:jc w:val="center"/>
        <w:rPr>
          <w:rFonts w:ascii="楷体" w:hAnsi="楷体" w:eastAsia="楷体" w:cs="楷体"/>
          <w:sz w:val="24"/>
          <w:szCs w:val="24"/>
          <w:highlight w:val="none"/>
        </w:rPr>
      </w:pPr>
      <w:r>
        <w:rPr>
          <w:rFonts w:hint="eastAsia" w:ascii="楷体" w:hAnsi="楷体" w:eastAsia="楷体" w:cs="楷体"/>
          <w:sz w:val="24"/>
          <w:szCs w:val="24"/>
          <w:highlight w:val="none"/>
        </w:rPr>
        <w:t>法定代表人/授权代理人（签字/盖章）：</w:t>
      </w:r>
    </w:p>
    <w:p>
      <w:pPr>
        <w:tabs>
          <w:tab w:val="left" w:pos="9015"/>
        </w:tabs>
        <w:spacing w:line="360" w:lineRule="auto"/>
        <w:ind w:right="105" w:rightChars="50"/>
        <w:jc w:val="center"/>
        <w:rPr>
          <w:rFonts w:ascii="楷体" w:hAnsi="楷体" w:eastAsia="楷体" w:cs="楷体"/>
          <w:sz w:val="24"/>
          <w:szCs w:val="24"/>
          <w:highlight w:val="none"/>
        </w:rPr>
      </w:pPr>
    </w:p>
    <w:p>
      <w:pPr>
        <w:tabs>
          <w:tab w:val="left" w:pos="9015"/>
        </w:tabs>
        <w:spacing w:line="360" w:lineRule="auto"/>
        <w:ind w:right="105" w:rightChars="50"/>
        <w:jc w:val="center"/>
        <w:rPr>
          <w:rFonts w:ascii="楷体" w:hAnsi="楷体" w:eastAsia="楷体" w:cs="楷体"/>
          <w:sz w:val="24"/>
          <w:szCs w:val="24"/>
          <w:highlight w:val="none"/>
        </w:rPr>
      </w:pPr>
      <w:r>
        <w:rPr>
          <w:rFonts w:hint="eastAsia" w:ascii="楷体" w:hAnsi="楷体" w:eastAsia="楷体" w:cs="楷体"/>
          <w:sz w:val="24"/>
          <w:szCs w:val="24"/>
          <w:highlight w:val="none"/>
        </w:rPr>
        <w:t xml:space="preserve">签署日期： </w:t>
      </w:r>
      <w:r>
        <w:rPr>
          <w:rFonts w:ascii="楷体" w:hAnsi="楷体" w:eastAsia="楷体" w:cs="楷体"/>
          <w:sz w:val="24"/>
          <w:szCs w:val="24"/>
          <w:highlight w:val="none"/>
        </w:rPr>
        <w:t xml:space="preserve">  </w:t>
      </w:r>
      <w:r>
        <w:rPr>
          <w:rFonts w:hint="eastAsia" w:ascii="楷体" w:hAnsi="楷体" w:eastAsia="楷体" w:cs="楷体"/>
          <w:sz w:val="24"/>
          <w:szCs w:val="24"/>
          <w:highlight w:val="none"/>
        </w:rPr>
        <w:t>年    月   日</w:t>
      </w:r>
    </w:p>
    <w:p>
      <w:pPr>
        <w:tabs>
          <w:tab w:val="left" w:pos="9015"/>
        </w:tabs>
        <w:spacing w:line="360" w:lineRule="auto"/>
        <w:ind w:right="105" w:rightChars="50"/>
        <w:jc w:val="left"/>
        <w:rPr>
          <w:rFonts w:ascii="楷体" w:hAnsi="楷体" w:eastAsia="楷体" w:cs="楷体"/>
          <w:sz w:val="24"/>
          <w:szCs w:val="24"/>
          <w:highlight w:val="none"/>
        </w:rPr>
      </w:pPr>
    </w:p>
    <w:p>
      <w:pPr>
        <w:rPr>
          <w:rFonts w:hint="eastAsia" w:ascii="楷体" w:hAnsi="楷体" w:eastAsia="楷体" w:cs="楷体"/>
          <w:sz w:val="24"/>
          <w:szCs w:val="24"/>
          <w:highlight w:val="none"/>
        </w:rPr>
      </w:pPr>
      <w:bookmarkStart w:id="0" w:name="_GoBack"/>
      <w:bookmarkEnd w:id="0"/>
    </w:p>
    <w:sectPr>
      <w:headerReference r:id="rId3" w:type="default"/>
      <w:footerReference r:id="rId4" w:type="default"/>
      <w:pgSz w:w="11900" w:h="16820"/>
      <w:pgMar w:top="720" w:right="720" w:bottom="720" w:left="720" w:header="283" w:footer="992" w:gutter="0"/>
      <w:pgNumType w:fmt="numberInDash"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Verdana">
    <w:panose1 w:val="020B0604030504040204"/>
    <w:charset w:val="00"/>
    <w:family w:val="swiss"/>
    <w:pitch w:val="default"/>
    <w:sig w:usb0="A00006FF" w:usb1="4000205B" w:usb2="00000010" w:usb3="00000000" w:csb0="2000019F"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17150600"/>
    </w:sdtPr>
    <w:sdtContent>
      <w:p>
        <w:pPr>
          <w:pStyle w:val="10"/>
          <w:jc w:val="center"/>
        </w:pPr>
        <w:r>
          <w:fldChar w:fldCharType="begin"/>
        </w:r>
        <w:r>
          <w:instrText xml:space="preserve">PAGE   \* MERGEFORMAT</w:instrText>
        </w:r>
        <w:r>
          <w:fldChar w:fldCharType="separate"/>
        </w:r>
        <w:r>
          <w:rPr>
            <w:lang w:val="zh-CN"/>
          </w:rPr>
          <w:t>-</w:t>
        </w:r>
        <w:r>
          <w:t xml:space="preserve"> 12 -</w:t>
        </w:r>
        <w:r>
          <w:fldChar w:fldCharType="end"/>
        </w:r>
      </w:p>
    </w:sdtContent>
  </w:sdt>
  <w:p>
    <w:pPr>
      <w:pStyle w:val="10"/>
      <w:jc w:val="center"/>
      <w:rPr>
        <w:b/>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tabs>
        <w:tab w:val="center" w:pos="5230"/>
        <w:tab w:val="left" w:pos="8385"/>
        <w:tab w:val="right" w:pos="10280"/>
        <w:tab w:val="right" w:pos="10460"/>
      </w:tabs>
      <w:ind w:right="180"/>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10"/>
    <w:multiLevelType w:val="multilevel"/>
    <w:tmpl w:val="00000010"/>
    <w:lvl w:ilvl="0" w:tentative="0">
      <w:start w:val="1"/>
      <w:numFmt w:val="decimal"/>
      <w:pStyle w:val="48"/>
      <w:lvlText w:val="%1、"/>
      <w:lvlJc w:val="left"/>
      <w:pPr>
        <w:tabs>
          <w:tab w:val="left" w:pos="757"/>
        </w:tabs>
        <w:ind w:firstLine="397"/>
      </w:pPr>
      <w:rPr>
        <w:rFonts w:hint="default" w:cs="Times New Roman"/>
      </w:rPr>
    </w:lvl>
    <w:lvl w:ilvl="1" w:tentative="0">
      <w:start w:val="1"/>
      <w:numFmt w:val="bullet"/>
      <w:lvlText w:val=""/>
      <w:lvlJc w:val="left"/>
      <w:pPr>
        <w:tabs>
          <w:tab w:val="left" w:pos="840"/>
        </w:tabs>
        <w:ind w:left="840" w:hanging="420"/>
      </w:pPr>
      <w:rPr>
        <w:rFonts w:hint="default" w:ascii="Wingdings" w:hAnsi="Wingdings"/>
        <w:b w:val="0"/>
        <w:i w:val="0"/>
        <w:sz w:val="15"/>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1">
    <w:nsid w:val="23BF3634"/>
    <w:multiLevelType w:val="singleLevel"/>
    <w:tmpl w:val="23BF3634"/>
    <w:lvl w:ilvl="0" w:tentative="0">
      <w:start w:val="3"/>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bordersDoNotSurroundHeader w:val="1"/>
  <w:bordersDoNotSurroundFooter w:val="1"/>
  <w:documentProtection w:edit="readOnly" w:enforcement="0"/>
  <w:defaultTabStop w:val="425"/>
  <w:drawingGridHorizontalSpacing w:val="105"/>
  <w:drawingGridVerticalSpacing w:val="156"/>
  <w:noPunctuationKerning w:val="1"/>
  <w:characterSpacingControl w:val="compressPunctuation"/>
  <w:doNotValidateAgainstSchema/>
  <w:doNotDemarcateInvalidXml/>
  <w:compat>
    <w:spaceForUL/>
    <w:balanceSingleByteDoubleByteWidth/>
    <w:doNotLeaveBackslashAlon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kzY2IzNzE1YWI5ZWE4NDE1NDE0MDQ4MmY1MWU0MzYifQ=="/>
  </w:docVars>
  <w:rsids>
    <w:rsidRoot w:val="00172A27"/>
    <w:rsid w:val="00004DF4"/>
    <w:rsid w:val="000126BE"/>
    <w:rsid w:val="000134D7"/>
    <w:rsid w:val="00020C4A"/>
    <w:rsid w:val="00027D20"/>
    <w:rsid w:val="00043ED9"/>
    <w:rsid w:val="00053B5D"/>
    <w:rsid w:val="00053CD9"/>
    <w:rsid w:val="00060F34"/>
    <w:rsid w:val="00064C50"/>
    <w:rsid w:val="00072A9D"/>
    <w:rsid w:val="000734D8"/>
    <w:rsid w:val="00076DF4"/>
    <w:rsid w:val="000845C0"/>
    <w:rsid w:val="0008700E"/>
    <w:rsid w:val="00091BD7"/>
    <w:rsid w:val="00093733"/>
    <w:rsid w:val="000B10EF"/>
    <w:rsid w:val="000C2848"/>
    <w:rsid w:val="000D2A81"/>
    <w:rsid w:val="000D3848"/>
    <w:rsid w:val="000E516E"/>
    <w:rsid w:val="000E5F93"/>
    <w:rsid w:val="000E606E"/>
    <w:rsid w:val="000F243D"/>
    <w:rsid w:val="00101053"/>
    <w:rsid w:val="00104395"/>
    <w:rsid w:val="00105E39"/>
    <w:rsid w:val="00110968"/>
    <w:rsid w:val="001111E8"/>
    <w:rsid w:val="00115ED7"/>
    <w:rsid w:val="00116280"/>
    <w:rsid w:val="00116D81"/>
    <w:rsid w:val="00120F96"/>
    <w:rsid w:val="00131378"/>
    <w:rsid w:val="00143E71"/>
    <w:rsid w:val="00147BBC"/>
    <w:rsid w:val="0015791D"/>
    <w:rsid w:val="00172A27"/>
    <w:rsid w:val="001741E5"/>
    <w:rsid w:val="00174ECA"/>
    <w:rsid w:val="0017733A"/>
    <w:rsid w:val="0018763B"/>
    <w:rsid w:val="001A77DF"/>
    <w:rsid w:val="001B45CF"/>
    <w:rsid w:val="001B55F6"/>
    <w:rsid w:val="001B68A8"/>
    <w:rsid w:val="001B6B61"/>
    <w:rsid w:val="001C33A1"/>
    <w:rsid w:val="001D03F1"/>
    <w:rsid w:val="001D3206"/>
    <w:rsid w:val="001D493D"/>
    <w:rsid w:val="001D6307"/>
    <w:rsid w:val="001E087C"/>
    <w:rsid w:val="001E5776"/>
    <w:rsid w:val="001F4BD4"/>
    <w:rsid w:val="0020032E"/>
    <w:rsid w:val="00202589"/>
    <w:rsid w:val="002066AC"/>
    <w:rsid w:val="002102DF"/>
    <w:rsid w:val="00211E63"/>
    <w:rsid w:val="00237373"/>
    <w:rsid w:val="00252C71"/>
    <w:rsid w:val="0026152A"/>
    <w:rsid w:val="00267DD5"/>
    <w:rsid w:val="00275C3B"/>
    <w:rsid w:val="00277D3A"/>
    <w:rsid w:val="00285F5E"/>
    <w:rsid w:val="002875E0"/>
    <w:rsid w:val="00292BAB"/>
    <w:rsid w:val="00295206"/>
    <w:rsid w:val="002A1D1F"/>
    <w:rsid w:val="002A479E"/>
    <w:rsid w:val="002B14FE"/>
    <w:rsid w:val="002B5F77"/>
    <w:rsid w:val="002C3B06"/>
    <w:rsid w:val="002C5A4F"/>
    <w:rsid w:val="002D1FD9"/>
    <w:rsid w:val="002D6275"/>
    <w:rsid w:val="002D69AB"/>
    <w:rsid w:val="002E1339"/>
    <w:rsid w:val="002E16EB"/>
    <w:rsid w:val="002E36D5"/>
    <w:rsid w:val="002E5EF6"/>
    <w:rsid w:val="002E75E1"/>
    <w:rsid w:val="002F4C3A"/>
    <w:rsid w:val="002F7F6D"/>
    <w:rsid w:val="00307BE0"/>
    <w:rsid w:val="00320693"/>
    <w:rsid w:val="00323831"/>
    <w:rsid w:val="00335846"/>
    <w:rsid w:val="00335879"/>
    <w:rsid w:val="0034057E"/>
    <w:rsid w:val="003476F4"/>
    <w:rsid w:val="00351663"/>
    <w:rsid w:val="00353753"/>
    <w:rsid w:val="00367509"/>
    <w:rsid w:val="003740DC"/>
    <w:rsid w:val="00375B33"/>
    <w:rsid w:val="00380310"/>
    <w:rsid w:val="003844E9"/>
    <w:rsid w:val="00397958"/>
    <w:rsid w:val="003A170E"/>
    <w:rsid w:val="003C2EB3"/>
    <w:rsid w:val="003D402F"/>
    <w:rsid w:val="003F1F43"/>
    <w:rsid w:val="003F38B4"/>
    <w:rsid w:val="004045F1"/>
    <w:rsid w:val="00414E4F"/>
    <w:rsid w:val="00420FD2"/>
    <w:rsid w:val="00421652"/>
    <w:rsid w:val="00421A24"/>
    <w:rsid w:val="004231AD"/>
    <w:rsid w:val="0043012A"/>
    <w:rsid w:val="00430906"/>
    <w:rsid w:val="00453710"/>
    <w:rsid w:val="00454900"/>
    <w:rsid w:val="00457BAD"/>
    <w:rsid w:val="00470569"/>
    <w:rsid w:val="00486E47"/>
    <w:rsid w:val="004877D4"/>
    <w:rsid w:val="00490278"/>
    <w:rsid w:val="00490B8A"/>
    <w:rsid w:val="004A28DF"/>
    <w:rsid w:val="004A30D0"/>
    <w:rsid w:val="004A42CA"/>
    <w:rsid w:val="004A7CCB"/>
    <w:rsid w:val="004B745C"/>
    <w:rsid w:val="004B7D23"/>
    <w:rsid w:val="004B7D8F"/>
    <w:rsid w:val="004C13E7"/>
    <w:rsid w:val="004C1BD7"/>
    <w:rsid w:val="004C2A69"/>
    <w:rsid w:val="004C4A3B"/>
    <w:rsid w:val="004D18EE"/>
    <w:rsid w:val="004E1497"/>
    <w:rsid w:val="004E460C"/>
    <w:rsid w:val="004E5349"/>
    <w:rsid w:val="004E6B5A"/>
    <w:rsid w:val="004F3D35"/>
    <w:rsid w:val="00506AB4"/>
    <w:rsid w:val="00515C5E"/>
    <w:rsid w:val="00521AC7"/>
    <w:rsid w:val="00526341"/>
    <w:rsid w:val="005263EF"/>
    <w:rsid w:val="00531402"/>
    <w:rsid w:val="0053745C"/>
    <w:rsid w:val="0054506C"/>
    <w:rsid w:val="0054699D"/>
    <w:rsid w:val="005536FE"/>
    <w:rsid w:val="005537AB"/>
    <w:rsid w:val="00557303"/>
    <w:rsid w:val="00560179"/>
    <w:rsid w:val="005601FE"/>
    <w:rsid w:val="005660B6"/>
    <w:rsid w:val="0056790C"/>
    <w:rsid w:val="0057326B"/>
    <w:rsid w:val="00577CE0"/>
    <w:rsid w:val="00590673"/>
    <w:rsid w:val="00591F5C"/>
    <w:rsid w:val="0059224F"/>
    <w:rsid w:val="005B1BDF"/>
    <w:rsid w:val="005B3852"/>
    <w:rsid w:val="005D4710"/>
    <w:rsid w:val="005D58D7"/>
    <w:rsid w:val="005E102A"/>
    <w:rsid w:val="005E58DD"/>
    <w:rsid w:val="005E5AB3"/>
    <w:rsid w:val="00605CD8"/>
    <w:rsid w:val="0061010A"/>
    <w:rsid w:val="006134F2"/>
    <w:rsid w:val="00622114"/>
    <w:rsid w:val="00624E2D"/>
    <w:rsid w:val="00631CCC"/>
    <w:rsid w:val="00641744"/>
    <w:rsid w:val="0064403D"/>
    <w:rsid w:val="0065431F"/>
    <w:rsid w:val="0065706B"/>
    <w:rsid w:val="00657DFD"/>
    <w:rsid w:val="0066158A"/>
    <w:rsid w:val="0066413A"/>
    <w:rsid w:val="00677EDF"/>
    <w:rsid w:val="0068117C"/>
    <w:rsid w:val="00683CE4"/>
    <w:rsid w:val="00693627"/>
    <w:rsid w:val="00693A04"/>
    <w:rsid w:val="006944C9"/>
    <w:rsid w:val="006A1EC1"/>
    <w:rsid w:val="006A5B36"/>
    <w:rsid w:val="006B3B7B"/>
    <w:rsid w:val="006B5743"/>
    <w:rsid w:val="006B76B7"/>
    <w:rsid w:val="006C3E00"/>
    <w:rsid w:val="006D18DF"/>
    <w:rsid w:val="006F4E6B"/>
    <w:rsid w:val="00712C17"/>
    <w:rsid w:val="00725A5C"/>
    <w:rsid w:val="00726FC0"/>
    <w:rsid w:val="007345EC"/>
    <w:rsid w:val="00735FF4"/>
    <w:rsid w:val="0074472A"/>
    <w:rsid w:val="00744D58"/>
    <w:rsid w:val="007514C0"/>
    <w:rsid w:val="0075225F"/>
    <w:rsid w:val="00753FB8"/>
    <w:rsid w:val="00771447"/>
    <w:rsid w:val="00774C61"/>
    <w:rsid w:val="00774C96"/>
    <w:rsid w:val="007836D2"/>
    <w:rsid w:val="00787144"/>
    <w:rsid w:val="007965D6"/>
    <w:rsid w:val="007A6E1D"/>
    <w:rsid w:val="007C0C18"/>
    <w:rsid w:val="007C1CCA"/>
    <w:rsid w:val="007C2293"/>
    <w:rsid w:val="007D14E4"/>
    <w:rsid w:val="007D1EBA"/>
    <w:rsid w:val="007D6D8E"/>
    <w:rsid w:val="007E296C"/>
    <w:rsid w:val="007E6B81"/>
    <w:rsid w:val="007F52B6"/>
    <w:rsid w:val="00803EFF"/>
    <w:rsid w:val="008072C7"/>
    <w:rsid w:val="00824BEB"/>
    <w:rsid w:val="008442D0"/>
    <w:rsid w:val="0084621C"/>
    <w:rsid w:val="008462E3"/>
    <w:rsid w:val="00847C80"/>
    <w:rsid w:val="00857EA5"/>
    <w:rsid w:val="00860278"/>
    <w:rsid w:val="00865C28"/>
    <w:rsid w:val="00870ED7"/>
    <w:rsid w:val="00871542"/>
    <w:rsid w:val="008866D4"/>
    <w:rsid w:val="00886F9F"/>
    <w:rsid w:val="00892B9A"/>
    <w:rsid w:val="0089586E"/>
    <w:rsid w:val="008B5F77"/>
    <w:rsid w:val="008C10BE"/>
    <w:rsid w:val="008D0E77"/>
    <w:rsid w:val="008E69E6"/>
    <w:rsid w:val="008E726B"/>
    <w:rsid w:val="008F0474"/>
    <w:rsid w:val="008F4090"/>
    <w:rsid w:val="00910195"/>
    <w:rsid w:val="00912662"/>
    <w:rsid w:val="00923389"/>
    <w:rsid w:val="00925851"/>
    <w:rsid w:val="00931352"/>
    <w:rsid w:val="009325AB"/>
    <w:rsid w:val="00937802"/>
    <w:rsid w:val="00940188"/>
    <w:rsid w:val="00944F74"/>
    <w:rsid w:val="00951433"/>
    <w:rsid w:val="009563A6"/>
    <w:rsid w:val="0096612C"/>
    <w:rsid w:val="00966E0A"/>
    <w:rsid w:val="009672F7"/>
    <w:rsid w:val="009711B2"/>
    <w:rsid w:val="0097128C"/>
    <w:rsid w:val="009759CE"/>
    <w:rsid w:val="00986235"/>
    <w:rsid w:val="0099276D"/>
    <w:rsid w:val="009970BB"/>
    <w:rsid w:val="009B225B"/>
    <w:rsid w:val="009D423D"/>
    <w:rsid w:val="009F15D7"/>
    <w:rsid w:val="00A01AAB"/>
    <w:rsid w:val="00A06C02"/>
    <w:rsid w:val="00A135DD"/>
    <w:rsid w:val="00A22BCB"/>
    <w:rsid w:val="00A22D0B"/>
    <w:rsid w:val="00A26AB6"/>
    <w:rsid w:val="00A277AA"/>
    <w:rsid w:val="00A27CEF"/>
    <w:rsid w:val="00A40DD9"/>
    <w:rsid w:val="00A52FD3"/>
    <w:rsid w:val="00A53C2A"/>
    <w:rsid w:val="00A5423D"/>
    <w:rsid w:val="00A62358"/>
    <w:rsid w:val="00A644F7"/>
    <w:rsid w:val="00A656F2"/>
    <w:rsid w:val="00A72E87"/>
    <w:rsid w:val="00A828D5"/>
    <w:rsid w:val="00A82C30"/>
    <w:rsid w:val="00A879AB"/>
    <w:rsid w:val="00A90485"/>
    <w:rsid w:val="00A922EA"/>
    <w:rsid w:val="00A94B34"/>
    <w:rsid w:val="00AA3D7C"/>
    <w:rsid w:val="00AA3E92"/>
    <w:rsid w:val="00AA6B31"/>
    <w:rsid w:val="00AA7543"/>
    <w:rsid w:val="00AC39C7"/>
    <w:rsid w:val="00AC7776"/>
    <w:rsid w:val="00AD1A03"/>
    <w:rsid w:val="00AD1BA7"/>
    <w:rsid w:val="00AD5F34"/>
    <w:rsid w:val="00AD5F5E"/>
    <w:rsid w:val="00AE0488"/>
    <w:rsid w:val="00AE69DB"/>
    <w:rsid w:val="00AF441D"/>
    <w:rsid w:val="00B07AA8"/>
    <w:rsid w:val="00B14437"/>
    <w:rsid w:val="00B144AD"/>
    <w:rsid w:val="00B173B4"/>
    <w:rsid w:val="00B207E5"/>
    <w:rsid w:val="00B216AA"/>
    <w:rsid w:val="00B23DEE"/>
    <w:rsid w:val="00B32FEA"/>
    <w:rsid w:val="00B3497E"/>
    <w:rsid w:val="00B40EE7"/>
    <w:rsid w:val="00B415AC"/>
    <w:rsid w:val="00B422AD"/>
    <w:rsid w:val="00B424B8"/>
    <w:rsid w:val="00B4346D"/>
    <w:rsid w:val="00B54116"/>
    <w:rsid w:val="00B72662"/>
    <w:rsid w:val="00B82E0A"/>
    <w:rsid w:val="00B94920"/>
    <w:rsid w:val="00BA2181"/>
    <w:rsid w:val="00BB3EEF"/>
    <w:rsid w:val="00BC0CEE"/>
    <w:rsid w:val="00BD51FA"/>
    <w:rsid w:val="00BE2FD0"/>
    <w:rsid w:val="00BF0FFE"/>
    <w:rsid w:val="00C02754"/>
    <w:rsid w:val="00C15BC1"/>
    <w:rsid w:val="00C16084"/>
    <w:rsid w:val="00C46A0F"/>
    <w:rsid w:val="00C74554"/>
    <w:rsid w:val="00CA5FEA"/>
    <w:rsid w:val="00CA6509"/>
    <w:rsid w:val="00CB221F"/>
    <w:rsid w:val="00CD1EF6"/>
    <w:rsid w:val="00CD538C"/>
    <w:rsid w:val="00CD69D0"/>
    <w:rsid w:val="00CE2EA7"/>
    <w:rsid w:val="00CE6B24"/>
    <w:rsid w:val="00D00B95"/>
    <w:rsid w:val="00D05F92"/>
    <w:rsid w:val="00D21D56"/>
    <w:rsid w:val="00D24E99"/>
    <w:rsid w:val="00D317EC"/>
    <w:rsid w:val="00D33B99"/>
    <w:rsid w:val="00D42D38"/>
    <w:rsid w:val="00D4551C"/>
    <w:rsid w:val="00D55BA3"/>
    <w:rsid w:val="00D62161"/>
    <w:rsid w:val="00D67133"/>
    <w:rsid w:val="00D718AC"/>
    <w:rsid w:val="00DA2382"/>
    <w:rsid w:val="00DA7499"/>
    <w:rsid w:val="00DC14F8"/>
    <w:rsid w:val="00DC1ED6"/>
    <w:rsid w:val="00DC2BC6"/>
    <w:rsid w:val="00DD3B7A"/>
    <w:rsid w:val="00DE5BD5"/>
    <w:rsid w:val="00DE67B5"/>
    <w:rsid w:val="00E03537"/>
    <w:rsid w:val="00E106C7"/>
    <w:rsid w:val="00E13033"/>
    <w:rsid w:val="00E23CD0"/>
    <w:rsid w:val="00E24BC1"/>
    <w:rsid w:val="00E3264D"/>
    <w:rsid w:val="00E42E93"/>
    <w:rsid w:val="00E43D38"/>
    <w:rsid w:val="00E50FC1"/>
    <w:rsid w:val="00E53E9F"/>
    <w:rsid w:val="00E55058"/>
    <w:rsid w:val="00E60D6E"/>
    <w:rsid w:val="00E63031"/>
    <w:rsid w:val="00E64CE1"/>
    <w:rsid w:val="00E6605E"/>
    <w:rsid w:val="00E6727B"/>
    <w:rsid w:val="00E67385"/>
    <w:rsid w:val="00E76CB1"/>
    <w:rsid w:val="00E815EC"/>
    <w:rsid w:val="00EA50E4"/>
    <w:rsid w:val="00ED34A1"/>
    <w:rsid w:val="00ED6909"/>
    <w:rsid w:val="00EE71AE"/>
    <w:rsid w:val="00EE7F35"/>
    <w:rsid w:val="00EF12E6"/>
    <w:rsid w:val="00EF74EF"/>
    <w:rsid w:val="00F106D8"/>
    <w:rsid w:val="00F138FB"/>
    <w:rsid w:val="00F20334"/>
    <w:rsid w:val="00F269E3"/>
    <w:rsid w:val="00F27D56"/>
    <w:rsid w:val="00F37710"/>
    <w:rsid w:val="00F520C1"/>
    <w:rsid w:val="00F61F24"/>
    <w:rsid w:val="00F64942"/>
    <w:rsid w:val="00F8198C"/>
    <w:rsid w:val="00F86E22"/>
    <w:rsid w:val="00F9050F"/>
    <w:rsid w:val="00F90F01"/>
    <w:rsid w:val="00F95EAD"/>
    <w:rsid w:val="00FA18B7"/>
    <w:rsid w:val="00FA497E"/>
    <w:rsid w:val="00FB325D"/>
    <w:rsid w:val="00FB5602"/>
    <w:rsid w:val="00FB742C"/>
    <w:rsid w:val="00FC4AC9"/>
    <w:rsid w:val="00FC64BC"/>
    <w:rsid w:val="00FC7A75"/>
    <w:rsid w:val="00FD36F2"/>
    <w:rsid w:val="00FD4687"/>
    <w:rsid w:val="00FD4E75"/>
    <w:rsid w:val="00FD6E17"/>
    <w:rsid w:val="00FE1C89"/>
    <w:rsid w:val="00FE4497"/>
    <w:rsid w:val="00FF7840"/>
    <w:rsid w:val="01050F22"/>
    <w:rsid w:val="014D4A30"/>
    <w:rsid w:val="0192652E"/>
    <w:rsid w:val="01C761D7"/>
    <w:rsid w:val="021F6013"/>
    <w:rsid w:val="02DA6C6B"/>
    <w:rsid w:val="03215DBB"/>
    <w:rsid w:val="03795BF7"/>
    <w:rsid w:val="03E31D35"/>
    <w:rsid w:val="03EA2651"/>
    <w:rsid w:val="04043713"/>
    <w:rsid w:val="04A9325A"/>
    <w:rsid w:val="04AE1913"/>
    <w:rsid w:val="050B6D23"/>
    <w:rsid w:val="056C5A14"/>
    <w:rsid w:val="063A497D"/>
    <w:rsid w:val="065344DE"/>
    <w:rsid w:val="065D35AE"/>
    <w:rsid w:val="067D77AC"/>
    <w:rsid w:val="06C929F2"/>
    <w:rsid w:val="06EF0BC3"/>
    <w:rsid w:val="072F2BE1"/>
    <w:rsid w:val="073D0B6D"/>
    <w:rsid w:val="0789113C"/>
    <w:rsid w:val="082F3866"/>
    <w:rsid w:val="0892150B"/>
    <w:rsid w:val="08B245B2"/>
    <w:rsid w:val="08FC45E3"/>
    <w:rsid w:val="091C14FF"/>
    <w:rsid w:val="09257CD5"/>
    <w:rsid w:val="0A951569"/>
    <w:rsid w:val="0AA25A34"/>
    <w:rsid w:val="0B470907"/>
    <w:rsid w:val="0B7A2ACF"/>
    <w:rsid w:val="0B9C008B"/>
    <w:rsid w:val="0BC10AF5"/>
    <w:rsid w:val="0BCF2858"/>
    <w:rsid w:val="0C0A7D34"/>
    <w:rsid w:val="0C5517FF"/>
    <w:rsid w:val="0C5D7E40"/>
    <w:rsid w:val="0C6E3391"/>
    <w:rsid w:val="0D8214CE"/>
    <w:rsid w:val="0D934F84"/>
    <w:rsid w:val="0E172295"/>
    <w:rsid w:val="0E59465B"/>
    <w:rsid w:val="0E6D45AA"/>
    <w:rsid w:val="0F026AA1"/>
    <w:rsid w:val="0FA605E4"/>
    <w:rsid w:val="0FBE2B5A"/>
    <w:rsid w:val="10005C3C"/>
    <w:rsid w:val="10121FF2"/>
    <w:rsid w:val="10922B9F"/>
    <w:rsid w:val="11753373"/>
    <w:rsid w:val="11CC3396"/>
    <w:rsid w:val="124E64BD"/>
    <w:rsid w:val="12883761"/>
    <w:rsid w:val="13947EBA"/>
    <w:rsid w:val="1507315A"/>
    <w:rsid w:val="153F7058"/>
    <w:rsid w:val="155C2C83"/>
    <w:rsid w:val="157E0E4B"/>
    <w:rsid w:val="15AF7257"/>
    <w:rsid w:val="15EC35BD"/>
    <w:rsid w:val="1638549E"/>
    <w:rsid w:val="16571DC8"/>
    <w:rsid w:val="16873D30"/>
    <w:rsid w:val="16DF3A43"/>
    <w:rsid w:val="16E04D50"/>
    <w:rsid w:val="16EF3DAF"/>
    <w:rsid w:val="1706559C"/>
    <w:rsid w:val="17832749"/>
    <w:rsid w:val="178A7F7B"/>
    <w:rsid w:val="181823CE"/>
    <w:rsid w:val="1818352B"/>
    <w:rsid w:val="18290EC6"/>
    <w:rsid w:val="186C7681"/>
    <w:rsid w:val="18972950"/>
    <w:rsid w:val="189746FE"/>
    <w:rsid w:val="18A85311"/>
    <w:rsid w:val="18B708FC"/>
    <w:rsid w:val="18D6750B"/>
    <w:rsid w:val="18F90F15"/>
    <w:rsid w:val="190A3122"/>
    <w:rsid w:val="193F5818"/>
    <w:rsid w:val="195E521C"/>
    <w:rsid w:val="19F618F8"/>
    <w:rsid w:val="1A501008"/>
    <w:rsid w:val="1A6F65C0"/>
    <w:rsid w:val="1B170DA5"/>
    <w:rsid w:val="1B697EA8"/>
    <w:rsid w:val="1B882A24"/>
    <w:rsid w:val="1BB9498B"/>
    <w:rsid w:val="1C224C26"/>
    <w:rsid w:val="1C4F3541"/>
    <w:rsid w:val="1C694603"/>
    <w:rsid w:val="1C76287C"/>
    <w:rsid w:val="1E8B0B36"/>
    <w:rsid w:val="1EB12291"/>
    <w:rsid w:val="1EDF4BCA"/>
    <w:rsid w:val="1F2B3DF2"/>
    <w:rsid w:val="1F3A67A1"/>
    <w:rsid w:val="20036B1D"/>
    <w:rsid w:val="21300867"/>
    <w:rsid w:val="213B4094"/>
    <w:rsid w:val="21D106FB"/>
    <w:rsid w:val="22513B6F"/>
    <w:rsid w:val="238979C6"/>
    <w:rsid w:val="239643B6"/>
    <w:rsid w:val="23C2284B"/>
    <w:rsid w:val="24DF041B"/>
    <w:rsid w:val="25F27417"/>
    <w:rsid w:val="265E4B2A"/>
    <w:rsid w:val="26F61189"/>
    <w:rsid w:val="27677991"/>
    <w:rsid w:val="27C748D4"/>
    <w:rsid w:val="2858552C"/>
    <w:rsid w:val="288E0F4E"/>
    <w:rsid w:val="28EF5E90"/>
    <w:rsid w:val="2A427D35"/>
    <w:rsid w:val="2A815605"/>
    <w:rsid w:val="2AAD6003"/>
    <w:rsid w:val="2B1F0554"/>
    <w:rsid w:val="2B293B50"/>
    <w:rsid w:val="2B6E5792"/>
    <w:rsid w:val="2BD61A90"/>
    <w:rsid w:val="2BDD6474"/>
    <w:rsid w:val="2CB36875"/>
    <w:rsid w:val="2D0669E7"/>
    <w:rsid w:val="2D340315"/>
    <w:rsid w:val="2D3B1714"/>
    <w:rsid w:val="2D3B5B48"/>
    <w:rsid w:val="2D746964"/>
    <w:rsid w:val="2DC51A8B"/>
    <w:rsid w:val="2DF26D45"/>
    <w:rsid w:val="2E5844D8"/>
    <w:rsid w:val="2EAD65D1"/>
    <w:rsid w:val="2EEB70FA"/>
    <w:rsid w:val="2F0A3A24"/>
    <w:rsid w:val="2F0F103A"/>
    <w:rsid w:val="2F345781"/>
    <w:rsid w:val="2F375116"/>
    <w:rsid w:val="2F47263F"/>
    <w:rsid w:val="2F5E167A"/>
    <w:rsid w:val="2F5E78CC"/>
    <w:rsid w:val="3045283A"/>
    <w:rsid w:val="30801AC4"/>
    <w:rsid w:val="308B2942"/>
    <w:rsid w:val="30BF4099"/>
    <w:rsid w:val="30DB6CFA"/>
    <w:rsid w:val="30DF67EA"/>
    <w:rsid w:val="316A172D"/>
    <w:rsid w:val="31B711AB"/>
    <w:rsid w:val="32D94CDA"/>
    <w:rsid w:val="339A10EE"/>
    <w:rsid w:val="33BA130C"/>
    <w:rsid w:val="33CE4B42"/>
    <w:rsid w:val="33F46A50"/>
    <w:rsid w:val="350E3B42"/>
    <w:rsid w:val="35731BF7"/>
    <w:rsid w:val="35984836"/>
    <w:rsid w:val="35B50461"/>
    <w:rsid w:val="35EF49BE"/>
    <w:rsid w:val="35FD2BAC"/>
    <w:rsid w:val="36036573"/>
    <w:rsid w:val="364F4412"/>
    <w:rsid w:val="3650458C"/>
    <w:rsid w:val="369D2B73"/>
    <w:rsid w:val="36DD557A"/>
    <w:rsid w:val="37887BDC"/>
    <w:rsid w:val="37AB5678"/>
    <w:rsid w:val="37B37D36"/>
    <w:rsid w:val="37FC5BAE"/>
    <w:rsid w:val="38514471"/>
    <w:rsid w:val="38E2331B"/>
    <w:rsid w:val="38EB3169"/>
    <w:rsid w:val="39110635"/>
    <w:rsid w:val="396C7C6D"/>
    <w:rsid w:val="3A6574EB"/>
    <w:rsid w:val="3ACA050B"/>
    <w:rsid w:val="3AEA295B"/>
    <w:rsid w:val="3AF17846"/>
    <w:rsid w:val="3B6E70E8"/>
    <w:rsid w:val="3B9A612F"/>
    <w:rsid w:val="3BBF5B96"/>
    <w:rsid w:val="3BDC04F6"/>
    <w:rsid w:val="3BFD221A"/>
    <w:rsid w:val="3C047A4D"/>
    <w:rsid w:val="3C437AB3"/>
    <w:rsid w:val="3C8610D3"/>
    <w:rsid w:val="3D6267D9"/>
    <w:rsid w:val="3D8449A1"/>
    <w:rsid w:val="3DDA6CB7"/>
    <w:rsid w:val="3DE511B8"/>
    <w:rsid w:val="3E38578C"/>
    <w:rsid w:val="3E7E19DC"/>
    <w:rsid w:val="3EAB41B0"/>
    <w:rsid w:val="3ECA0ADA"/>
    <w:rsid w:val="3F0D0127"/>
    <w:rsid w:val="3F2D72BA"/>
    <w:rsid w:val="3F530001"/>
    <w:rsid w:val="3F5900B0"/>
    <w:rsid w:val="3F9904AC"/>
    <w:rsid w:val="3FC47C67"/>
    <w:rsid w:val="403003DC"/>
    <w:rsid w:val="40D43E92"/>
    <w:rsid w:val="40E1035D"/>
    <w:rsid w:val="40ED4F53"/>
    <w:rsid w:val="41272213"/>
    <w:rsid w:val="415B3C6B"/>
    <w:rsid w:val="41C21F3C"/>
    <w:rsid w:val="41E07D3E"/>
    <w:rsid w:val="41EE4ADF"/>
    <w:rsid w:val="42023422"/>
    <w:rsid w:val="423D08FD"/>
    <w:rsid w:val="42562684"/>
    <w:rsid w:val="436239D7"/>
    <w:rsid w:val="436D3F45"/>
    <w:rsid w:val="43FD725B"/>
    <w:rsid w:val="44466E54"/>
    <w:rsid w:val="444D1D6E"/>
    <w:rsid w:val="4470495E"/>
    <w:rsid w:val="451A5BEB"/>
    <w:rsid w:val="452E1696"/>
    <w:rsid w:val="45912588"/>
    <w:rsid w:val="45A76ED7"/>
    <w:rsid w:val="45B11680"/>
    <w:rsid w:val="4698770F"/>
    <w:rsid w:val="46AC31BB"/>
    <w:rsid w:val="46B17021"/>
    <w:rsid w:val="46D205F1"/>
    <w:rsid w:val="47D65556"/>
    <w:rsid w:val="48272AF9"/>
    <w:rsid w:val="4876582E"/>
    <w:rsid w:val="49080B7C"/>
    <w:rsid w:val="491749EF"/>
    <w:rsid w:val="499D6C11"/>
    <w:rsid w:val="49A563CB"/>
    <w:rsid w:val="4A273284"/>
    <w:rsid w:val="4A895CED"/>
    <w:rsid w:val="4AAF6AAC"/>
    <w:rsid w:val="4AF56EDE"/>
    <w:rsid w:val="4BE64946"/>
    <w:rsid w:val="4C3C0B3D"/>
    <w:rsid w:val="4C4D68A6"/>
    <w:rsid w:val="4C9E7102"/>
    <w:rsid w:val="4CD05F61"/>
    <w:rsid w:val="4D07739D"/>
    <w:rsid w:val="4D0828E4"/>
    <w:rsid w:val="4D565C2E"/>
    <w:rsid w:val="4DA846DC"/>
    <w:rsid w:val="4DBF5582"/>
    <w:rsid w:val="4E173610"/>
    <w:rsid w:val="4EB33338"/>
    <w:rsid w:val="4EDB2381"/>
    <w:rsid w:val="4F5D4EF1"/>
    <w:rsid w:val="4F60335A"/>
    <w:rsid w:val="4FC11A85"/>
    <w:rsid w:val="4FCC5F1B"/>
    <w:rsid w:val="4FCF01DE"/>
    <w:rsid w:val="501222E0"/>
    <w:rsid w:val="509B0528"/>
    <w:rsid w:val="51142088"/>
    <w:rsid w:val="51595CED"/>
    <w:rsid w:val="521A5270"/>
    <w:rsid w:val="521A7083"/>
    <w:rsid w:val="52271947"/>
    <w:rsid w:val="523227C6"/>
    <w:rsid w:val="526F608F"/>
    <w:rsid w:val="52B95D2A"/>
    <w:rsid w:val="53634C01"/>
    <w:rsid w:val="53822C25"/>
    <w:rsid w:val="540A1D51"/>
    <w:rsid w:val="54745318"/>
    <w:rsid w:val="55052414"/>
    <w:rsid w:val="551D5F9C"/>
    <w:rsid w:val="554223FD"/>
    <w:rsid w:val="55794BB0"/>
    <w:rsid w:val="563A433F"/>
    <w:rsid w:val="56C500AD"/>
    <w:rsid w:val="56CA2991"/>
    <w:rsid w:val="57435475"/>
    <w:rsid w:val="575A31E5"/>
    <w:rsid w:val="578C4726"/>
    <w:rsid w:val="57CF0AB7"/>
    <w:rsid w:val="57E502DB"/>
    <w:rsid w:val="57F86260"/>
    <w:rsid w:val="57FF139C"/>
    <w:rsid w:val="58026C65"/>
    <w:rsid w:val="58767185"/>
    <w:rsid w:val="58F20F01"/>
    <w:rsid w:val="594924CF"/>
    <w:rsid w:val="5952374E"/>
    <w:rsid w:val="59D979CB"/>
    <w:rsid w:val="59FD5DAF"/>
    <w:rsid w:val="5A24637D"/>
    <w:rsid w:val="5A3F1F24"/>
    <w:rsid w:val="5B01367D"/>
    <w:rsid w:val="5B576D98"/>
    <w:rsid w:val="5BA81D4B"/>
    <w:rsid w:val="5BAD110F"/>
    <w:rsid w:val="5C734107"/>
    <w:rsid w:val="5CA40764"/>
    <w:rsid w:val="5D616655"/>
    <w:rsid w:val="5DA30A1C"/>
    <w:rsid w:val="5DB83772"/>
    <w:rsid w:val="5DCD5A99"/>
    <w:rsid w:val="5E135BA1"/>
    <w:rsid w:val="5E1831B8"/>
    <w:rsid w:val="5E6E102A"/>
    <w:rsid w:val="5E785A05"/>
    <w:rsid w:val="5E84084D"/>
    <w:rsid w:val="5EC155FD"/>
    <w:rsid w:val="5F0454EA"/>
    <w:rsid w:val="5F2D2C93"/>
    <w:rsid w:val="5FAA4CEA"/>
    <w:rsid w:val="60F31CBA"/>
    <w:rsid w:val="616A343C"/>
    <w:rsid w:val="62083543"/>
    <w:rsid w:val="62255EA3"/>
    <w:rsid w:val="63416D0D"/>
    <w:rsid w:val="635822A8"/>
    <w:rsid w:val="639332E1"/>
    <w:rsid w:val="63BF5AFB"/>
    <w:rsid w:val="63F7386F"/>
    <w:rsid w:val="64915201"/>
    <w:rsid w:val="6571661B"/>
    <w:rsid w:val="65847385"/>
    <w:rsid w:val="65EE2A50"/>
    <w:rsid w:val="66320049"/>
    <w:rsid w:val="668313EA"/>
    <w:rsid w:val="66BE2423"/>
    <w:rsid w:val="672A5D0A"/>
    <w:rsid w:val="67467F02"/>
    <w:rsid w:val="67582877"/>
    <w:rsid w:val="679B13BB"/>
    <w:rsid w:val="67AE06E9"/>
    <w:rsid w:val="67F105D6"/>
    <w:rsid w:val="681F15E7"/>
    <w:rsid w:val="68BB366A"/>
    <w:rsid w:val="69117181"/>
    <w:rsid w:val="698431BF"/>
    <w:rsid w:val="69DB32EB"/>
    <w:rsid w:val="6A3273AF"/>
    <w:rsid w:val="6A55309E"/>
    <w:rsid w:val="6AE2489E"/>
    <w:rsid w:val="6AEB3A02"/>
    <w:rsid w:val="6B73719A"/>
    <w:rsid w:val="6B7C019F"/>
    <w:rsid w:val="6BFA214F"/>
    <w:rsid w:val="6C0B610A"/>
    <w:rsid w:val="6C384A25"/>
    <w:rsid w:val="6C3867D3"/>
    <w:rsid w:val="6C5F6456"/>
    <w:rsid w:val="6C8E6D3B"/>
    <w:rsid w:val="6D7363E1"/>
    <w:rsid w:val="6D7C0AE9"/>
    <w:rsid w:val="6DC5053A"/>
    <w:rsid w:val="6E361438"/>
    <w:rsid w:val="6E867CCA"/>
    <w:rsid w:val="6ED24CBD"/>
    <w:rsid w:val="6F8D32DA"/>
    <w:rsid w:val="6F9311E9"/>
    <w:rsid w:val="6FFB46E7"/>
    <w:rsid w:val="702321E9"/>
    <w:rsid w:val="704F5004"/>
    <w:rsid w:val="70547B7B"/>
    <w:rsid w:val="706B361B"/>
    <w:rsid w:val="70F51137"/>
    <w:rsid w:val="710D46D2"/>
    <w:rsid w:val="71450480"/>
    <w:rsid w:val="72A42E14"/>
    <w:rsid w:val="72B312A9"/>
    <w:rsid w:val="72BA6194"/>
    <w:rsid w:val="72C47013"/>
    <w:rsid w:val="731955B0"/>
    <w:rsid w:val="734E78AD"/>
    <w:rsid w:val="7386076C"/>
    <w:rsid w:val="741D2E7E"/>
    <w:rsid w:val="742748CE"/>
    <w:rsid w:val="743B50B2"/>
    <w:rsid w:val="74741BA3"/>
    <w:rsid w:val="74B310ED"/>
    <w:rsid w:val="74E43401"/>
    <w:rsid w:val="751B4EE4"/>
    <w:rsid w:val="7524193F"/>
    <w:rsid w:val="754362C0"/>
    <w:rsid w:val="755521A4"/>
    <w:rsid w:val="75D457BF"/>
    <w:rsid w:val="76044D8D"/>
    <w:rsid w:val="761262E7"/>
    <w:rsid w:val="766C59F7"/>
    <w:rsid w:val="76851C10"/>
    <w:rsid w:val="76866449"/>
    <w:rsid w:val="76AD7EE3"/>
    <w:rsid w:val="76FB4FCD"/>
    <w:rsid w:val="77860D3A"/>
    <w:rsid w:val="77996CC0"/>
    <w:rsid w:val="77D53A70"/>
    <w:rsid w:val="77D55594"/>
    <w:rsid w:val="77F50340"/>
    <w:rsid w:val="77F50576"/>
    <w:rsid w:val="78491E3F"/>
    <w:rsid w:val="786A065C"/>
    <w:rsid w:val="78E57CE3"/>
    <w:rsid w:val="790C526F"/>
    <w:rsid w:val="792838E8"/>
    <w:rsid w:val="795D5ACB"/>
    <w:rsid w:val="79AE27CB"/>
    <w:rsid w:val="7A3E4CEB"/>
    <w:rsid w:val="7A547DFA"/>
    <w:rsid w:val="7A5C07DE"/>
    <w:rsid w:val="7A6D61E2"/>
    <w:rsid w:val="7AA02113"/>
    <w:rsid w:val="7B3B1ADE"/>
    <w:rsid w:val="7B5F3D7C"/>
    <w:rsid w:val="7B7A6E08"/>
    <w:rsid w:val="7BDA598D"/>
    <w:rsid w:val="7C5F7DAC"/>
    <w:rsid w:val="7CED360A"/>
    <w:rsid w:val="7CEF56C5"/>
    <w:rsid w:val="7CF404F4"/>
    <w:rsid w:val="7D51486E"/>
    <w:rsid w:val="7DAE0FEB"/>
    <w:rsid w:val="7DAF266D"/>
    <w:rsid w:val="7DD722F0"/>
    <w:rsid w:val="7DF033B2"/>
    <w:rsid w:val="7E011B2E"/>
    <w:rsid w:val="7E1E7F1F"/>
    <w:rsid w:val="7E720CB7"/>
    <w:rsid w:val="7EA61CC2"/>
    <w:rsid w:val="7F8139A1"/>
    <w:rsid w:val="7F9564CA"/>
    <w:rsid w:val="7FCC39AA"/>
    <w:rsid w:val="7FE02FB2"/>
    <w:rsid w:val="7FF32CE5"/>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iPriority="99"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40"/>
    <w:qFormat/>
    <w:uiPriority w:val="0"/>
    <w:pPr>
      <w:keepNext/>
      <w:keepLines/>
      <w:autoSpaceDE w:val="0"/>
      <w:autoSpaceDN w:val="0"/>
      <w:adjustRightInd w:val="0"/>
      <w:spacing w:before="360" w:after="360"/>
      <w:jc w:val="center"/>
      <w:textAlignment w:val="baseline"/>
      <w:outlineLvl w:val="0"/>
    </w:pPr>
    <w:rPr>
      <w:b/>
      <w:bCs/>
      <w:kern w:val="44"/>
      <w:sz w:val="44"/>
      <w:szCs w:val="44"/>
    </w:rPr>
  </w:style>
  <w:style w:type="paragraph" w:styleId="3">
    <w:name w:val="heading 2"/>
    <w:basedOn w:val="1"/>
    <w:next w:val="1"/>
    <w:link w:val="51"/>
    <w:semiHidden/>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5"/>
    <w:link w:val="36"/>
    <w:semiHidden/>
    <w:unhideWhenUsed/>
    <w:qFormat/>
    <w:uiPriority w:val="0"/>
    <w:pPr>
      <w:keepNext/>
      <w:keepLines/>
      <w:spacing w:before="260" w:after="260" w:line="415" w:lineRule="auto"/>
      <w:outlineLvl w:val="2"/>
    </w:pPr>
    <w:rPr>
      <w:b/>
      <w:bCs/>
      <w:sz w:val="32"/>
      <w:szCs w:val="32"/>
    </w:rPr>
  </w:style>
  <w:style w:type="character" w:default="1" w:styleId="17">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customStyle="1" w:styleId="5">
    <w:name w:val="正文缩进1"/>
    <w:basedOn w:val="1"/>
    <w:link w:val="37"/>
    <w:qFormat/>
    <w:uiPriority w:val="0"/>
    <w:pPr>
      <w:ind w:firstLine="420"/>
    </w:pPr>
    <w:rPr>
      <w:sz w:val="40"/>
    </w:rPr>
  </w:style>
  <w:style w:type="paragraph" w:styleId="6">
    <w:name w:val="annotation text"/>
    <w:basedOn w:val="1"/>
    <w:link w:val="32"/>
    <w:qFormat/>
    <w:uiPriority w:val="0"/>
    <w:pPr>
      <w:jc w:val="left"/>
    </w:pPr>
    <w:rPr>
      <w:sz w:val="24"/>
      <w:szCs w:val="24"/>
    </w:rPr>
  </w:style>
  <w:style w:type="paragraph" w:styleId="7">
    <w:name w:val="Body Text"/>
    <w:basedOn w:val="1"/>
    <w:link w:val="29"/>
    <w:uiPriority w:val="0"/>
    <w:rPr>
      <w:rFonts w:ascii="Tahoma" w:hAnsi="Tahoma"/>
      <w:sz w:val="24"/>
    </w:rPr>
  </w:style>
  <w:style w:type="paragraph" w:styleId="8">
    <w:name w:val="toc 3"/>
    <w:basedOn w:val="1"/>
    <w:next w:val="1"/>
    <w:uiPriority w:val="0"/>
    <w:pPr>
      <w:tabs>
        <w:tab w:val="right" w:leader="dot" w:pos="8302"/>
      </w:tabs>
    </w:pPr>
    <w:rPr>
      <w:color w:val="000000"/>
      <w:sz w:val="28"/>
    </w:rPr>
  </w:style>
  <w:style w:type="paragraph" w:styleId="9">
    <w:name w:val="Balloon Text"/>
    <w:basedOn w:val="1"/>
    <w:link w:val="22"/>
    <w:uiPriority w:val="0"/>
    <w:rPr>
      <w:sz w:val="2"/>
    </w:rPr>
  </w:style>
  <w:style w:type="paragraph" w:styleId="10">
    <w:name w:val="footer"/>
    <w:basedOn w:val="1"/>
    <w:link w:val="31"/>
    <w:uiPriority w:val="0"/>
    <w:pPr>
      <w:tabs>
        <w:tab w:val="center" w:pos="4153"/>
        <w:tab w:val="right" w:pos="8306"/>
      </w:tabs>
      <w:snapToGrid w:val="0"/>
      <w:jc w:val="left"/>
    </w:pPr>
    <w:rPr>
      <w:sz w:val="18"/>
      <w:szCs w:val="18"/>
    </w:rPr>
  </w:style>
  <w:style w:type="paragraph" w:styleId="11">
    <w:name w:val="header"/>
    <w:basedOn w:val="1"/>
    <w:link w:val="30"/>
    <w:uiPriority w:val="0"/>
    <w:pPr>
      <w:pBdr>
        <w:bottom w:val="single" w:color="auto" w:sz="6" w:space="1"/>
      </w:pBdr>
      <w:tabs>
        <w:tab w:val="center" w:pos="4153"/>
        <w:tab w:val="right" w:pos="8306"/>
      </w:tabs>
      <w:snapToGrid w:val="0"/>
      <w:jc w:val="center"/>
    </w:pPr>
    <w:rPr>
      <w:sz w:val="18"/>
      <w:szCs w:val="18"/>
    </w:rPr>
  </w:style>
  <w:style w:type="paragraph" w:styleId="12">
    <w:name w:val="toc 1"/>
    <w:basedOn w:val="1"/>
    <w:next w:val="1"/>
    <w:uiPriority w:val="0"/>
  </w:style>
  <w:style w:type="paragraph" w:styleId="13">
    <w:name w:val="Normal (Web)"/>
    <w:basedOn w:val="1"/>
    <w:qFormat/>
    <w:uiPriority w:val="0"/>
    <w:pPr>
      <w:spacing w:beforeAutospacing="1" w:afterAutospacing="1"/>
      <w:jc w:val="left"/>
    </w:pPr>
    <w:rPr>
      <w:kern w:val="0"/>
      <w:sz w:val="24"/>
    </w:rPr>
  </w:style>
  <w:style w:type="paragraph" w:styleId="14">
    <w:name w:val="annotation subject"/>
    <w:basedOn w:val="6"/>
    <w:next w:val="6"/>
    <w:link w:val="27"/>
    <w:uiPriority w:val="0"/>
    <w:rPr>
      <w:b/>
      <w:bCs/>
      <w:sz w:val="21"/>
      <w:szCs w:val="20"/>
    </w:rPr>
  </w:style>
  <w:style w:type="table" w:styleId="16">
    <w:name w:val="Table Grid"/>
    <w:basedOn w:val="15"/>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Hyperlink"/>
    <w:uiPriority w:val="0"/>
    <w:rPr>
      <w:rFonts w:cs="Times New Roman"/>
      <w:color w:val="0000FF"/>
      <w:u w:val="single"/>
    </w:rPr>
  </w:style>
  <w:style w:type="character" w:styleId="19">
    <w:name w:val="annotation reference"/>
    <w:semiHidden/>
    <w:unhideWhenUsed/>
    <w:qFormat/>
    <w:uiPriority w:val="99"/>
    <w:rPr>
      <w:sz w:val="21"/>
      <w:szCs w:val="21"/>
    </w:rPr>
  </w:style>
  <w:style w:type="character" w:customStyle="1" w:styleId="20">
    <w:name w:val="纯文本 Char"/>
    <w:link w:val="21"/>
    <w:qFormat/>
    <w:uiPriority w:val="0"/>
    <w:rPr>
      <w:rFonts w:ascii="宋体" w:eastAsia="宋体" w:cs="Times New Roman"/>
      <w:kern w:val="2"/>
      <w:sz w:val="28"/>
    </w:rPr>
  </w:style>
  <w:style w:type="paragraph" w:customStyle="1" w:styleId="21">
    <w:name w:val="纯文本1"/>
    <w:basedOn w:val="1"/>
    <w:link w:val="20"/>
    <w:qFormat/>
    <w:uiPriority w:val="0"/>
    <w:pPr>
      <w:spacing w:line="360" w:lineRule="auto"/>
      <w:ind w:firstLine="770"/>
    </w:pPr>
    <w:rPr>
      <w:rFonts w:ascii="宋体"/>
      <w:sz w:val="28"/>
    </w:rPr>
  </w:style>
  <w:style w:type="character" w:customStyle="1" w:styleId="22">
    <w:name w:val="批注框文本 字符"/>
    <w:link w:val="9"/>
    <w:qFormat/>
    <w:uiPriority w:val="0"/>
    <w:rPr>
      <w:rFonts w:cs="Times New Roman"/>
      <w:sz w:val="2"/>
    </w:rPr>
  </w:style>
  <w:style w:type="character" w:customStyle="1" w:styleId="23">
    <w:name w:val="正文首行缩进 Char"/>
    <w:link w:val="24"/>
    <w:qFormat/>
    <w:uiPriority w:val="0"/>
    <w:rPr>
      <w:rFonts w:ascii="Tahoma" w:hAnsi="Tahoma" w:cs="Times New Roman"/>
      <w:kern w:val="2"/>
      <w:sz w:val="24"/>
    </w:rPr>
  </w:style>
  <w:style w:type="paragraph" w:customStyle="1" w:styleId="24">
    <w:name w:val="正文首行缩进1"/>
    <w:basedOn w:val="7"/>
    <w:link w:val="23"/>
    <w:qFormat/>
    <w:uiPriority w:val="0"/>
    <w:pPr>
      <w:spacing w:after="120"/>
      <w:ind w:firstLine="420" w:firstLineChars="100"/>
    </w:pPr>
  </w:style>
  <w:style w:type="character" w:customStyle="1" w:styleId="25">
    <w:name w:val="正文文本缩进 3 Char"/>
    <w:link w:val="26"/>
    <w:qFormat/>
    <w:uiPriority w:val="0"/>
    <w:rPr>
      <w:rFonts w:cs="Times New Roman"/>
      <w:sz w:val="16"/>
      <w:szCs w:val="16"/>
    </w:rPr>
  </w:style>
  <w:style w:type="paragraph" w:customStyle="1" w:styleId="26">
    <w:name w:val="正文文本缩进 31"/>
    <w:basedOn w:val="1"/>
    <w:link w:val="25"/>
    <w:qFormat/>
    <w:uiPriority w:val="0"/>
    <w:pPr>
      <w:ind w:firstLine="400"/>
    </w:pPr>
    <w:rPr>
      <w:sz w:val="16"/>
      <w:szCs w:val="16"/>
    </w:rPr>
  </w:style>
  <w:style w:type="character" w:customStyle="1" w:styleId="27">
    <w:name w:val="批注主题 字符"/>
    <w:link w:val="14"/>
    <w:qFormat/>
    <w:uiPriority w:val="0"/>
    <w:rPr>
      <w:rFonts w:cs="Times New Roman"/>
      <w:b/>
      <w:bCs/>
      <w:kern w:val="2"/>
      <w:sz w:val="21"/>
      <w:szCs w:val="24"/>
    </w:rPr>
  </w:style>
  <w:style w:type="character" w:customStyle="1" w:styleId="28">
    <w:name w:val="批注引用1"/>
    <w:qFormat/>
    <w:uiPriority w:val="0"/>
    <w:rPr>
      <w:rFonts w:cs="Times New Roman"/>
      <w:sz w:val="21"/>
      <w:szCs w:val="21"/>
    </w:rPr>
  </w:style>
  <w:style w:type="character" w:customStyle="1" w:styleId="29">
    <w:name w:val="正文文本 字符"/>
    <w:link w:val="7"/>
    <w:qFormat/>
    <w:uiPriority w:val="0"/>
    <w:rPr>
      <w:rFonts w:ascii="Tahoma" w:hAnsi="Tahoma" w:cs="Times New Roman"/>
      <w:kern w:val="2"/>
      <w:sz w:val="24"/>
    </w:rPr>
  </w:style>
  <w:style w:type="character" w:customStyle="1" w:styleId="30">
    <w:name w:val="页眉 字符"/>
    <w:link w:val="11"/>
    <w:qFormat/>
    <w:uiPriority w:val="99"/>
    <w:rPr>
      <w:rFonts w:cs="Times New Roman"/>
      <w:kern w:val="2"/>
      <w:sz w:val="18"/>
      <w:szCs w:val="18"/>
    </w:rPr>
  </w:style>
  <w:style w:type="character" w:customStyle="1" w:styleId="31">
    <w:name w:val="页脚 字符"/>
    <w:link w:val="10"/>
    <w:qFormat/>
    <w:uiPriority w:val="99"/>
    <w:rPr>
      <w:rFonts w:cs="Times New Roman"/>
      <w:kern w:val="2"/>
      <w:sz w:val="18"/>
      <w:szCs w:val="18"/>
    </w:rPr>
  </w:style>
  <w:style w:type="character" w:customStyle="1" w:styleId="32">
    <w:name w:val="批注文字 字符"/>
    <w:link w:val="6"/>
    <w:qFormat/>
    <w:uiPriority w:val="0"/>
    <w:rPr>
      <w:rFonts w:cs="Times New Roman"/>
      <w:kern w:val="2"/>
      <w:sz w:val="24"/>
      <w:szCs w:val="24"/>
    </w:rPr>
  </w:style>
  <w:style w:type="character" w:customStyle="1" w:styleId="33">
    <w:name w:val="页码1"/>
    <w:qFormat/>
    <w:uiPriority w:val="0"/>
    <w:rPr>
      <w:rFonts w:cs="Times New Roman"/>
    </w:rPr>
  </w:style>
  <w:style w:type="character" w:customStyle="1" w:styleId="34">
    <w:name w:val="正文文本缩进 Char"/>
    <w:link w:val="35"/>
    <w:qFormat/>
    <w:uiPriority w:val="0"/>
    <w:rPr>
      <w:rFonts w:cs="Times New Roman"/>
      <w:sz w:val="20"/>
      <w:szCs w:val="20"/>
    </w:rPr>
  </w:style>
  <w:style w:type="paragraph" w:customStyle="1" w:styleId="35">
    <w:name w:val="正文文本缩进1"/>
    <w:basedOn w:val="1"/>
    <w:link w:val="34"/>
    <w:qFormat/>
    <w:uiPriority w:val="0"/>
    <w:pPr>
      <w:ind w:firstLine="600"/>
    </w:pPr>
    <w:rPr>
      <w:sz w:val="20"/>
    </w:rPr>
  </w:style>
  <w:style w:type="character" w:customStyle="1" w:styleId="36">
    <w:name w:val="标题 3 字符"/>
    <w:link w:val="4"/>
    <w:qFormat/>
    <w:uiPriority w:val="0"/>
    <w:rPr>
      <w:rFonts w:cs="Times New Roman"/>
      <w:b/>
      <w:bCs/>
      <w:sz w:val="32"/>
      <w:szCs w:val="32"/>
    </w:rPr>
  </w:style>
  <w:style w:type="character" w:customStyle="1" w:styleId="37">
    <w:name w:val="正文缩进 Char"/>
    <w:link w:val="5"/>
    <w:qFormat/>
    <w:uiPriority w:val="0"/>
    <w:rPr>
      <w:rFonts w:cs="Times New Roman"/>
      <w:kern w:val="2"/>
      <w:sz w:val="40"/>
    </w:rPr>
  </w:style>
  <w:style w:type="character" w:customStyle="1" w:styleId="38">
    <w:name w:val="批注主题 Char"/>
    <w:link w:val="39"/>
    <w:qFormat/>
    <w:uiPriority w:val="0"/>
    <w:rPr>
      <w:rFonts w:cs="Times New Roman"/>
      <w:b/>
      <w:bCs/>
      <w:kern w:val="2"/>
      <w:sz w:val="24"/>
      <w:szCs w:val="24"/>
    </w:rPr>
  </w:style>
  <w:style w:type="paragraph" w:customStyle="1" w:styleId="39">
    <w:name w:val="批注主题1"/>
    <w:basedOn w:val="6"/>
    <w:next w:val="6"/>
    <w:link w:val="38"/>
    <w:qFormat/>
    <w:uiPriority w:val="0"/>
    <w:rPr>
      <w:b/>
      <w:bCs/>
    </w:rPr>
  </w:style>
  <w:style w:type="character" w:customStyle="1" w:styleId="40">
    <w:name w:val="标题 1 字符"/>
    <w:link w:val="2"/>
    <w:qFormat/>
    <w:uiPriority w:val="0"/>
    <w:rPr>
      <w:rFonts w:cs="Times New Roman"/>
      <w:b/>
      <w:bCs/>
      <w:kern w:val="44"/>
      <w:sz w:val="44"/>
      <w:szCs w:val="44"/>
    </w:rPr>
  </w:style>
  <w:style w:type="character" w:customStyle="1" w:styleId="41">
    <w:name w:val="正文文本缩进 2 Char"/>
    <w:link w:val="42"/>
    <w:qFormat/>
    <w:uiPriority w:val="0"/>
    <w:rPr>
      <w:rFonts w:cs="Times New Roman"/>
      <w:kern w:val="2"/>
      <w:sz w:val="24"/>
      <w:szCs w:val="24"/>
    </w:rPr>
  </w:style>
  <w:style w:type="paragraph" w:customStyle="1" w:styleId="42">
    <w:name w:val="正文文本缩进 21"/>
    <w:basedOn w:val="1"/>
    <w:link w:val="41"/>
    <w:qFormat/>
    <w:uiPriority w:val="0"/>
    <w:pPr>
      <w:spacing w:after="120" w:line="480" w:lineRule="auto"/>
      <w:ind w:left="420"/>
    </w:pPr>
    <w:rPr>
      <w:sz w:val="24"/>
      <w:szCs w:val="24"/>
    </w:rPr>
  </w:style>
  <w:style w:type="paragraph" w:customStyle="1" w:styleId="43">
    <w:name w:val="Default"/>
    <w:qFormat/>
    <w:uiPriority w:val="0"/>
    <w:pPr>
      <w:widowControl w:val="0"/>
      <w:autoSpaceDE w:val="0"/>
      <w:autoSpaceDN w:val="0"/>
      <w:adjustRightInd w:val="0"/>
    </w:pPr>
    <w:rPr>
      <w:rFonts w:ascii="微软雅黑" w:hAnsi="Times New Roman" w:eastAsia="微软雅黑" w:cs="微软雅黑"/>
      <w:color w:val="000000"/>
      <w:sz w:val="24"/>
      <w:szCs w:val="24"/>
      <w:lang w:val="en-US" w:eastAsia="zh-CN" w:bidi="ar-SA"/>
    </w:rPr>
  </w:style>
  <w:style w:type="paragraph" w:customStyle="1" w:styleId="44">
    <w:name w:val="Char Char Char Char"/>
    <w:basedOn w:val="1"/>
    <w:qFormat/>
    <w:uiPriority w:val="0"/>
    <w:pPr>
      <w:tabs>
        <w:tab w:val="left" w:pos="360"/>
      </w:tabs>
    </w:pPr>
    <w:rPr>
      <w:sz w:val="24"/>
      <w:szCs w:val="24"/>
    </w:rPr>
  </w:style>
  <w:style w:type="paragraph" w:customStyle="1" w:styleId="45">
    <w:name w:val="Char1 Char Char Char Char"/>
    <w:basedOn w:val="1"/>
    <w:qFormat/>
    <w:uiPriority w:val="0"/>
    <w:pPr>
      <w:widowControl/>
      <w:spacing w:after="160" w:line="240" w:lineRule="exact"/>
      <w:jc w:val="left"/>
    </w:pPr>
    <w:rPr>
      <w:rFonts w:ascii="Verdana" w:hAnsi="Verdana" w:cs="Verdana"/>
      <w:kern w:val="0"/>
      <w:sz w:val="20"/>
      <w:lang w:eastAsia="en-US"/>
    </w:rPr>
  </w:style>
  <w:style w:type="paragraph" w:customStyle="1" w:styleId="46">
    <w:name w:val="列出段落1"/>
    <w:basedOn w:val="1"/>
    <w:qFormat/>
    <w:uiPriority w:val="0"/>
    <w:pPr>
      <w:ind w:firstLine="420" w:firstLineChars="200"/>
    </w:pPr>
  </w:style>
  <w:style w:type="paragraph" w:customStyle="1" w:styleId="47">
    <w:name w:val="普通(网站)1"/>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48">
    <w:name w:val="列表1"/>
    <w:basedOn w:val="1"/>
    <w:next w:val="1"/>
    <w:qFormat/>
    <w:uiPriority w:val="0"/>
    <w:pPr>
      <w:numPr>
        <w:ilvl w:val="0"/>
        <w:numId w:val="1"/>
      </w:numPr>
      <w:spacing w:line="360" w:lineRule="auto"/>
    </w:pPr>
  </w:style>
  <w:style w:type="paragraph" w:customStyle="1" w:styleId="49">
    <w:name w:val="修订1"/>
    <w:hidden/>
    <w:unhideWhenUsed/>
    <w:qFormat/>
    <w:uiPriority w:val="99"/>
    <w:rPr>
      <w:rFonts w:ascii="Times New Roman" w:hAnsi="Times New Roman" w:eastAsia="宋体" w:cs="Times New Roman"/>
      <w:kern w:val="2"/>
      <w:sz w:val="21"/>
      <w:lang w:val="en-US" w:eastAsia="zh-CN" w:bidi="ar-SA"/>
    </w:rPr>
  </w:style>
  <w:style w:type="table" w:customStyle="1" w:styleId="50">
    <w:name w:val="网格型1"/>
    <w:basedOn w:val="15"/>
    <w:unhideWhenUsed/>
    <w:qFormat/>
    <w:uiPriority w:val="0"/>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51">
    <w:name w:val="标题 2 字符"/>
    <w:basedOn w:val="17"/>
    <w:link w:val="3"/>
    <w:qFormat/>
    <w:uiPriority w:val="9"/>
    <w:rPr>
      <w:rFonts w:asciiTheme="majorHAnsi" w:hAnsiTheme="majorHAnsi" w:eastAsiaTheme="majorEastAsia" w:cstheme="majorBidi"/>
      <w:b/>
      <w:bCs/>
      <w:kern w:val="2"/>
      <w:sz w:val="32"/>
      <w:szCs w:val="32"/>
    </w:rPr>
  </w:style>
  <w:style w:type="character" w:customStyle="1" w:styleId="52">
    <w:name w:val="apple-converted-space"/>
    <w:basedOn w:val="17"/>
    <w:qFormat/>
    <w:uiPriority w:val="0"/>
  </w:style>
  <w:style w:type="paragraph" w:styleId="53">
    <w:name w:val="List Paragraph"/>
    <w:basedOn w:val="1"/>
    <w:qFormat/>
    <w:uiPriority w:val="99"/>
    <w:pPr>
      <w:ind w:firstLine="420" w:firstLineChars="200"/>
    </w:pPr>
    <w:rPr>
      <w:rFonts w:ascii="Calibri" w:hAnsi="Calibri"/>
      <w:szCs w:val="22"/>
    </w:rPr>
  </w:style>
  <w:style w:type="paragraph" w:customStyle="1" w:styleId="54">
    <w:name w:val="Table Paragraph"/>
    <w:basedOn w:val="1"/>
    <w:qFormat/>
    <w:uiPriority w:val="1"/>
    <w:pPr>
      <w:spacing w:before="209"/>
    </w:pPr>
  </w:style>
  <w:style w:type="table" w:customStyle="1" w:styleId="55">
    <w:name w:val="Table Normal"/>
    <w:semiHidden/>
    <w:unhideWhenUsed/>
    <w:qFormat/>
    <w:uiPriority w:val="2"/>
    <w:tblPr>
      <w:tblCellMar>
        <w:top w:w="0" w:type="dxa"/>
        <w:left w:w="0" w:type="dxa"/>
        <w:bottom w:w="0" w:type="dxa"/>
        <w:right w:w="0" w:type="dxa"/>
      </w:tblCellMar>
    </w:tblPr>
  </w:style>
  <w:style w:type="paragraph" w:customStyle="1" w:styleId="56">
    <w:name w:val="Revision"/>
    <w:hidden/>
    <w:semiHidden/>
    <w:qFormat/>
    <w:uiPriority w:val="99"/>
    <w:rPr>
      <w:rFonts w:ascii="Times New Roman" w:hAnsi="Times New Roman" w:eastAsia="宋体" w:cs="Times New Roman"/>
      <w:kern w:val="2"/>
      <w:sz w:val="21"/>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办公室">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办公室">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办公室">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FBB1F83-418B-456D-86E1-3F9E925531BE}">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7</Pages>
  <Words>6506</Words>
  <Characters>6569</Characters>
  <Lines>112</Lines>
  <Paragraphs>31</Paragraphs>
  <TotalTime>3</TotalTime>
  <ScaleCrop>false</ScaleCrop>
  <LinksUpToDate>false</LinksUpToDate>
  <CharactersWithSpaces>6660</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2022-09-01T10:53:00Z</dcterms:created>
  <dc:creator>银河期货+殷然</dc:creator>
  <cp:lastModifiedBy>企业用户_444068791</cp:lastModifiedBy>
  <cp:lastPrinted>2017-10-25T04:32:00Z</cp:lastPrinted>
  <dcterms:modified xsi:type="dcterms:W3CDTF">2024-01-10T00:36:32Z</dcterms:modified>
  <dc:title>_x0001_</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32381A4F355D4679A39A63F88CA10EC2_13</vt:lpwstr>
  </property>
  <property fmtid="{D5CDD505-2E9C-101B-9397-08002B2CF9AE}" pid="4" name="CRO">
    <vt:lpwstr>wqlLaW5nc29mdCBQREYgdG8gV1BTIDgw</vt:lpwstr>
  </property>
  <property fmtid="{D5CDD505-2E9C-101B-9397-08002B2CF9AE}" pid="5" name="Created">
    <vt:filetime>2022-11-10T17:46:02Z</vt:filetime>
  </property>
</Properties>
</file>