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center"/>
      </w:pPr>
      <w:r>
        <w:rPr>
          <w:rFonts w:hint="eastAsia" w:ascii="仿宋" w:hAnsi="仿宋" w:eastAsia="仿宋"/>
          <w:b/>
          <w:bCs/>
          <w:sz w:val="28"/>
          <w:szCs w:val="28"/>
        </w:rPr>
        <w:t>股票期权投资者适当性评估表</w:t>
      </w:r>
    </w:p>
    <w:tbl>
      <w:tblPr>
        <w:tblStyle w:val="5"/>
        <w:tblW w:w="11483" w:type="dxa"/>
        <w:tblInd w:w="-1565" w:type="dxa"/>
        <w:tblLayout w:type="fixed"/>
        <w:tblCellMar>
          <w:top w:w="0" w:type="dxa"/>
          <w:left w:w="108" w:type="dxa"/>
          <w:bottom w:w="0" w:type="dxa"/>
          <w:right w:w="108" w:type="dxa"/>
        </w:tblCellMar>
      </w:tblPr>
      <w:tblGrid>
        <w:gridCol w:w="1418"/>
        <w:gridCol w:w="1149"/>
        <w:gridCol w:w="1971"/>
        <w:gridCol w:w="107"/>
        <w:gridCol w:w="1168"/>
        <w:gridCol w:w="1276"/>
        <w:gridCol w:w="425"/>
        <w:gridCol w:w="850"/>
        <w:gridCol w:w="1285"/>
        <w:gridCol w:w="1834"/>
      </w:tblGrid>
      <w:tr>
        <w:tblPrEx>
          <w:tblCellMar>
            <w:top w:w="0" w:type="dxa"/>
            <w:left w:w="108" w:type="dxa"/>
            <w:bottom w:w="0" w:type="dxa"/>
            <w:right w:w="108" w:type="dxa"/>
          </w:tblCellMar>
        </w:tblPrEx>
        <w:trPr>
          <w:trHeight w:val="212" w:hRule="atLeast"/>
        </w:trPr>
        <w:tc>
          <w:tcPr>
            <w:tcW w:w="11483" w:type="dxa"/>
            <w:gridSpan w:val="10"/>
            <w:tcBorders>
              <w:top w:val="single" w:color="auto" w:sz="4" w:space="0"/>
              <w:left w:val="single" w:color="auto" w:sz="4" w:space="0"/>
              <w:bottom w:val="single" w:color="auto" w:sz="4" w:space="0"/>
              <w:right w:val="single" w:color="auto" w:sz="4" w:space="0"/>
            </w:tcBorders>
            <w:vAlign w:val="center"/>
          </w:tcPr>
          <w:p>
            <w:pPr>
              <w:ind w:right="300"/>
              <w:rPr>
                <w:rFonts w:ascii="宋体" w:hAnsi="宋体" w:eastAsia="宋体" w:cs="宋体"/>
                <w:b/>
                <w:bCs/>
                <w:color w:val="000000"/>
                <w:sz w:val="15"/>
                <w:szCs w:val="15"/>
              </w:rPr>
            </w:pPr>
            <w:r>
              <w:rPr>
                <w:rFonts w:hint="eastAsia" w:ascii="宋体" w:hAnsi="宋体" w:eastAsia="宋体"/>
                <w:b/>
                <w:sz w:val="15"/>
                <w:szCs w:val="15"/>
              </w:rPr>
              <w:t xml:space="preserve">一、申请信息（客户填写，并在相应栏目打“√”） </w:t>
            </w:r>
            <w:r>
              <w:rPr>
                <w:rFonts w:ascii="宋体" w:hAnsi="宋体" w:eastAsia="宋体"/>
                <w:b/>
                <w:sz w:val="15"/>
                <w:szCs w:val="15"/>
              </w:rPr>
              <w:t xml:space="preserve">                                                </w:t>
            </w:r>
            <w:r>
              <w:rPr>
                <w:rFonts w:hint="eastAsia" w:ascii="宋体" w:hAnsi="宋体" w:eastAsia="宋体"/>
                <w:sz w:val="15"/>
                <w:szCs w:val="15"/>
              </w:rPr>
              <w:t xml:space="preserve">□个人投资者 </w:t>
            </w:r>
            <w:r>
              <w:rPr>
                <w:rFonts w:ascii="宋体" w:hAnsi="宋体" w:eastAsia="宋体"/>
                <w:sz w:val="15"/>
                <w:szCs w:val="15"/>
              </w:rPr>
              <w:t xml:space="preserve">  </w:t>
            </w:r>
            <w:r>
              <w:rPr>
                <w:rFonts w:hint="eastAsia" w:ascii="宋体" w:hAnsi="宋体" w:eastAsia="宋体"/>
                <w:sz w:val="15"/>
                <w:szCs w:val="15"/>
              </w:rPr>
              <w:t xml:space="preserve">□普通机构投资者 </w:t>
            </w:r>
            <w:r>
              <w:rPr>
                <w:rFonts w:ascii="宋体" w:hAnsi="宋体" w:eastAsia="宋体"/>
                <w:sz w:val="15"/>
                <w:szCs w:val="15"/>
              </w:rPr>
              <w:t xml:space="preserve"> </w:t>
            </w:r>
            <w:r>
              <w:rPr>
                <w:rFonts w:hint="eastAsia" w:ascii="宋体" w:hAnsi="宋体" w:eastAsia="宋体"/>
                <w:sz w:val="15"/>
                <w:szCs w:val="15"/>
              </w:rPr>
              <w:t>□专业机构投资者</w:t>
            </w:r>
          </w:p>
        </w:tc>
      </w:tr>
      <w:tr>
        <w:tblPrEx>
          <w:tblCellMar>
            <w:top w:w="0" w:type="dxa"/>
            <w:left w:w="108" w:type="dxa"/>
            <w:bottom w:w="0" w:type="dxa"/>
            <w:right w:w="108" w:type="dxa"/>
          </w:tblCellMar>
        </w:tblPrEx>
        <w:trPr>
          <w:trHeight w:val="226"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sz w:val="15"/>
                <w:szCs w:val="15"/>
              </w:rPr>
            </w:pPr>
            <w:r>
              <w:rPr>
                <w:rFonts w:hint="eastAsia" w:ascii="宋体" w:hAnsi="宋体" w:eastAsia="宋体" w:cs="宋体"/>
                <w:color w:val="000000"/>
                <w:sz w:val="15"/>
                <w:szCs w:val="15"/>
              </w:rPr>
              <w:t>资金账号</w:t>
            </w:r>
          </w:p>
        </w:tc>
        <w:tc>
          <w:tcPr>
            <w:tcW w:w="439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sz w:val="15"/>
                <w:szCs w:val="15"/>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sz w:val="15"/>
                <w:szCs w:val="15"/>
              </w:rPr>
            </w:pPr>
            <w:r>
              <w:rPr>
                <w:rFonts w:hint="eastAsia" w:ascii="宋体" w:hAnsi="宋体" w:eastAsia="宋体" w:cs="宋体"/>
                <w:color w:val="000000"/>
                <w:sz w:val="15"/>
                <w:szCs w:val="15"/>
              </w:rPr>
              <w:t>名称</w:t>
            </w:r>
          </w:p>
        </w:tc>
        <w:tc>
          <w:tcPr>
            <w:tcW w:w="4394"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15"/>
                <w:szCs w:val="15"/>
              </w:rPr>
            </w:pPr>
          </w:p>
        </w:tc>
      </w:tr>
      <w:tr>
        <w:tblPrEx>
          <w:tblCellMar>
            <w:top w:w="0" w:type="dxa"/>
            <w:left w:w="108" w:type="dxa"/>
            <w:bottom w:w="0" w:type="dxa"/>
            <w:right w:w="108" w:type="dxa"/>
          </w:tblCellMar>
        </w:tblPrEx>
        <w:trPr>
          <w:trHeight w:val="262"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证件类型</w:t>
            </w:r>
          </w:p>
        </w:tc>
        <w:tc>
          <w:tcPr>
            <w:tcW w:w="439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5"/>
                <w:szCs w:val="15"/>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证件号码</w:t>
            </w:r>
          </w:p>
        </w:tc>
        <w:tc>
          <w:tcPr>
            <w:tcW w:w="439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5"/>
                <w:szCs w:val="15"/>
              </w:rPr>
            </w:pPr>
          </w:p>
        </w:tc>
      </w:tr>
      <w:tr>
        <w:tblPrEx>
          <w:tblCellMar>
            <w:top w:w="0" w:type="dxa"/>
            <w:left w:w="108" w:type="dxa"/>
            <w:bottom w:w="0" w:type="dxa"/>
            <w:right w:w="108" w:type="dxa"/>
          </w:tblCellMar>
        </w:tblPrEx>
        <w:trPr>
          <w:trHeight w:val="262" w:hRule="atLeast"/>
        </w:trPr>
        <w:tc>
          <w:tcPr>
            <w:tcW w:w="5813"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w:t>
            </w:r>
            <w:bookmarkStart w:id="0" w:name="_GoBack"/>
            <w:bookmarkEnd w:id="0"/>
            <w:r>
              <w:rPr>
                <w:rFonts w:ascii="宋体" w:hAnsi="宋体" w:eastAsia="宋体" w:cs="宋体"/>
                <w:sz w:val="15"/>
                <w:szCs w:val="15"/>
              </w:rPr>
              <w:t>申请</w:t>
            </w:r>
            <w:r>
              <w:rPr>
                <w:rFonts w:hint="eastAsia" w:ascii="宋体" w:hAnsi="宋体" w:eastAsia="宋体" w:cs="宋体"/>
                <w:color w:val="000000"/>
                <w:sz w:val="15"/>
                <w:szCs w:val="15"/>
              </w:rPr>
              <w:t>上海证券交易所股票期权</w:t>
            </w:r>
          </w:p>
        </w:tc>
        <w:tc>
          <w:tcPr>
            <w:tcW w:w="567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 xml:space="preserve"> </w:t>
            </w:r>
            <w:r>
              <w:rPr>
                <w:rFonts w:ascii="宋体" w:hAnsi="宋体" w:eastAsia="宋体" w:cs="宋体"/>
                <w:color w:val="000000"/>
                <w:sz w:val="15"/>
                <w:szCs w:val="15"/>
              </w:rPr>
              <w:t xml:space="preserve">            </w:t>
            </w:r>
            <w:r>
              <w:rPr>
                <w:rFonts w:hint="eastAsia" w:ascii="宋体" w:hAnsi="宋体" w:eastAsia="宋体" w:cs="宋体"/>
                <w:color w:val="000000"/>
                <w:sz w:val="15"/>
                <w:szCs w:val="15"/>
              </w:rPr>
              <w:t>□申请深圳证券交易所股票期权</w:t>
            </w:r>
          </w:p>
        </w:tc>
      </w:tr>
      <w:tr>
        <w:tblPrEx>
          <w:tblCellMar>
            <w:top w:w="0" w:type="dxa"/>
            <w:left w:w="108" w:type="dxa"/>
            <w:bottom w:w="0" w:type="dxa"/>
            <w:right w:w="108" w:type="dxa"/>
          </w:tblCellMar>
        </w:tblPrEx>
        <w:trPr>
          <w:trHeight w:val="150" w:hRule="atLeast"/>
        </w:trPr>
        <w:tc>
          <w:tcPr>
            <w:tcW w:w="11483" w:type="dxa"/>
            <w:gridSpan w:val="10"/>
            <w:tcBorders>
              <w:top w:val="single" w:color="auto" w:sz="4" w:space="0"/>
              <w:left w:val="single" w:color="auto" w:sz="4" w:space="0"/>
              <w:bottom w:val="single" w:color="auto" w:sz="4" w:space="0"/>
              <w:right w:val="single" w:color="auto" w:sz="4" w:space="0"/>
            </w:tcBorders>
            <w:vAlign w:val="center"/>
          </w:tcPr>
          <w:p>
            <w:pPr>
              <w:jc w:val="both"/>
              <w:rPr>
                <w:rFonts w:ascii="宋体" w:hAnsi="宋体" w:eastAsia="宋体"/>
                <w:b/>
                <w:sz w:val="15"/>
                <w:szCs w:val="15"/>
              </w:rPr>
            </w:pPr>
            <w:r>
              <w:rPr>
                <w:rFonts w:hint="eastAsia" w:ascii="宋体" w:hAnsi="宋体" w:eastAsia="宋体"/>
                <w:b/>
                <w:sz w:val="15"/>
                <w:szCs w:val="15"/>
              </w:rPr>
              <w:t>二、业务受理审核（期货公司分支机构工作人员根据客户的实际情况，在相应栏目打“√”并评估）</w:t>
            </w:r>
          </w:p>
        </w:tc>
      </w:tr>
      <w:tr>
        <w:tblPrEx>
          <w:tblCellMar>
            <w:top w:w="0" w:type="dxa"/>
            <w:left w:w="108" w:type="dxa"/>
            <w:bottom w:w="0" w:type="dxa"/>
            <w:right w:w="108" w:type="dxa"/>
          </w:tblCellMar>
        </w:tblPrEx>
        <w:trPr>
          <w:trHeight w:val="150" w:hRule="atLeast"/>
        </w:trPr>
        <w:tc>
          <w:tcPr>
            <w:tcW w:w="11483" w:type="dxa"/>
            <w:gridSpan w:val="10"/>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15"/>
                <w:szCs w:val="15"/>
              </w:rPr>
            </w:pPr>
            <w:r>
              <w:rPr>
                <w:rFonts w:hint="eastAsia" w:ascii="宋体" w:hAnsi="宋体" w:eastAsia="宋体" w:cs="宋体"/>
                <w:sz w:val="15"/>
                <w:szCs w:val="15"/>
              </w:rPr>
              <w:t>（一）</w:t>
            </w:r>
            <w:r>
              <w:rPr>
                <w:rFonts w:ascii="宋体" w:hAnsi="宋体" w:eastAsia="宋体" w:cs="宋体"/>
                <w:sz w:val="15"/>
                <w:szCs w:val="15"/>
              </w:rPr>
              <w:t>投资者拟申请的股票期权交易权限和额度</w:t>
            </w:r>
          </w:p>
        </w:tc>
      </w:tr>
      <w:tr>
        <w:tblPrEx>
          <w:tblCellMar>
            <w:top w:w="0" w:type="dxa"/>
            <w:left w:w="108" w:type="dxa"/>
            <w:bottom w:w="0" w:type="dxa"/>
            <w:right w:w="108" w:type="dxa"/>
          </w:tblCellMar>
        </w:tblPrEx>
        <w:trPr>
          <w:trHeight w:val="702" w:hRule="atLeast"/>
        </w:trPr>
        <w:tc>
          <w:tcPr>
            <w:tcW w:w="11483" w:type="dxa"/>
            <w:gridSpan w:val="10"/>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15"/>
                <w:szCs w:val="15"/>
              </w:rPr>
            </w:pPr>
            <w:r>
              <w:rPr>
                <w:rFonts w:hint="eastAsia" w:ascii="宋体" w:hAnsi="宋体" w:eastAsia="宋体" w:cs="宋体"/>
                <w:color w:val="000000"/>
                <w:sz w:val="15"/>
                <w:szCs w:val="15"/>
              </w:rPr>
              <w:t>□</w:t>
            </w:r>
            <w:r>
              <w:rPr>
                <w:rFonts w:ascii="宋体" w:hAnsi="宋体" w:eastAsia="宋体" w:cs="宋体"/>
                <w:sz w:val="15"/>
                <w:szCs w:val="15"/>
              </w:rPr>
              <w:t>一级：（持有期权合约标的时，进行备兑开仓、买入认沽交易以及对应平仓、行权）</w:t>
            </w:r>
          </w:p>
          <w:p>
            <w:pPr>
              <w:rPr>
                <w:rFonts w:ascii="宋体" w:hAnsi="宋体" w:eastAsia="宋体" w:cs="宋体"/>
                <w:sz w:val="15"/>
                <w:szCs w:val="15"/>
              </w:rPr>
            </w:pPr>
            <w:r>
              <w:rPr>
                <w:rFonts w:hint="eastAsia" w:ascii="宋体" w:hAnsi="宋体" w:eastAsia="宋体" w:cs="宋体"/>
                <w:color w:val="000000"/>
                <w:sz w:val="15"/>
                <w:szCs w:val="15"/>
              </w:rPr>
              <w:t>□</w:t>
            </w:r>
            <w:r>
              <w:rPr>
                <w:rFonts w:ascii="宋体" w:hAnsi="宋体" w:eastAsia="宋体" w:cs="宋体"/>
                <w:sz w:val="15"/>
                <w:szCs w:val="15"/>
              </w:rPr>
              <w:t>二级：（</w:t>
            </w:r>
            <w:r>
              <w:rPr>
                <w:rFonts w:hint="eastAsia" w:ascii="宋体" w:hAnsi="宋体" w:eastAsia="宋体" w:cs="宋体"/>
                <w:sz w:val="15"/>
                <w:szCs w:val="15"/>
              </w:rPr>
              <w:t>一级交易权限及买入开仓</w:t>
            </w:r>
            <w:r>
              <w:rPr>
                <w:rFonts w:ascii="宋体" w:hAnsi="宋体" w:eastAsia="宋体" w:cs="宋体"/>
                <w:sz w:val="15"/>
                <w:szCs w:val="15"/>
              </w:rPr>
              <w:t>）</w:t>
            </w:r>
          </w:p>
          <w:p>
            <w:pPr>
              <w:rPr>
                <w:rFonts w:ascii="宋体" w:hAnsi="宋体" w:eastAsia="宋体" w:cs="宋体"/>
                <w:sz w:val="15"/>
                <w:szCs w:val="15"/>
              </w:rPr>
            </w:pPr>
            <w:r>
              <w:rPr>
                <w:rFonts w:hint="eastAsia" w:ascii="宋体" w:hAnsi="宋体" w:eastAsia="宋体" w:cs="宋体"/>
                <w:color w:val="000000"/>
                <w:sz w:val="15"/>
                <w:szCs w:val="15"/>
              </w:rPr>
              <w:t>□</w:t>
            </w:r>
            <w:r>
              <w:rPr>
                <w:rFonts w:ascii="宋体" w:hAnsi="宋体" w:eastAsia="宋体" w:cs="宋体"/>
                <w:sz w:val="15"/>
                <w:szCs w:val="15"/>
              </w:rPr>
              <w:t>三级：（</w:t>
            </w:r>
            <w:r>
              <w:rPr>
                <w:rFonts w:hint="eastAsia" w:ascii="宋体" w:hAnsi="宋体" w:eastAsia="宋体" w:cs="宋体"/>
                <w:sz w:val="15"/>
                <w:szCs w:val="15"/>
              </w:rPr>
              <w:t>二级交易权限及保证金卖出开仓</w:t>
            </w:r>
            <w:r>
              <w:rPr>
                <w:rFonts w:ascii="宋体" w:hAnsi="宋体" w:eastAsia="宋体" w:cs="宋体"/>
                <w:sz w:val="15"/>
                <w:szCs w:val="15"/>
              </w:rPr>
              <w:t>）</w:t>
            </w:r>
          </w:p>
        </w:tc>
      </w:tr>
      <w:tr>
        <w:tblPrEx>
          <w:tblCellMar>
            <w:top w:w="0" w:type="dxa"/>
            <w:left w:w="108" w:type="dxa"/>
            <w:bottom w:w="0" w:type="dxa"/>
            <w:right w:w="108" w:type="dxa"/>
          </w:tblCellMar>
        </w:tblPrEx>
        <w:trPr>
          <w:trHeight w:val="262" w:hRule="atLeast"/>
        </w:trPr>
        <w:tc>
          <w:tcPr>
            <w:tcW w:w="256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5"/>
                <w:szCs w:val="15"/>
                <w:u w:val="single"/>
              </w:rPr>
            </w:pPr>
            <w:r>
              <w:rPr>
                <w:rFonts w:hint="eastAsia" w:ascii="宋体" w:hAnsi="宋体" w:eastAsia="宋体" w:cs="宋体"/>
                <w:color w:val="000000"/>
                <w:sz w:val="15"/>
                <w:szCs w:val="15"/>
              </w:rPr>
              <w:t>限购额度为客户期货可用资金的1</w:t>
            </w:r>
            <w:r>
              <w:rPr>
                <w:rFonts w:ascii="宋体" w:hAnsi="宋体" w:eastAsia="宋体" w:cs="宋体"/>
                <w:color w:val="000000"/>
                <w:sz w:val="15"/>
                <w:szCs w:val="15"/>
              </w:rPr>
              <w:t>0%</w:t>
            </w:r>
          </w:p>
        </w:tc>
        <w:tc>
          <w:tcPr>
            <w:tcW w:w="5797"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上海证券交易所限购额度</w:t>
            </w:r>
            <w:r>
              <w:rPr>
                <w:rFonts w:hint="eastAsia" w:ascii="宋体" w:hAnsi="宋体" w:eastAsia="宋体" w:cs="宋体"/>
                <w:color w:val="000000"/>
                <w:sz w:val="15"/>
                <w:szCs w:val="15"/>
                <w:u w:val="single"/>
              </w:rPr>
              <w:t xml:space="preserve">       </w:t>
            </w:r>
            <w:r>
              <w:rPr>
                <w:rFonts w:hint="eastAsia" w:ascii="宋体" w:hAnsi="宋体" w:eastAsia="宋体" w:cs="宋体"/>
                <w:color w:val="000000"/>
                <w:sz w:val="15"/>
                <w:szCs w:val="15"/>
              </w:rPr>
              <w:t>万元、深圳证券交易所限购额度</w:t>
            </w:r>
            <w:r>
              <w:rPr>
                <w:rFonts w:hint="eastAsia" w:ascii="宋体" w:hAnsi="宋体" w:eastAsia="宋体" w:cs="宋体"/>
                <w:color w:val="000000"/>
                <w:sz w:val="15"/>
                <w:szCs w:val="15"/>
                <w:u w:val="single"/>
              </w:rPr>
              <w:t xml:space="preserve">       </w:t>
            </w:r>
            <w:r>
              <w:rPr>
                <w:rFonts w:hint="eastAsia" w:ascii="宋体" w:hAnsi="宋体" w:eastAsia="宋体" w:cs="宋体"/>
                <w:color w:val="000000"/>
                <w:sz w:val="15"/>
                <w:szCs w:val="15"/>
              </w:rPr>
              <w:t>万元</w:t>
            </w:r>
          </w:p>
        </w:tc>
        <w:tc>
          <w:tcPr>
            <w:tcW w:w="31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持仓限额：█交易所默认标准</w:t>
            </w:r>
          </w:p>
        </w:tc>
      </w:tr>
      <w:tr>
        <w:tblPrEx>
          <w:tblCellMar>
            <w:top w:w="0" w:type="dxa"/>
            <w:left w:w="108" w:type="dxa"/>
            <w:bottom w:w="0" w:type="dxa"/>
            <w:right w:w="108" w:type="dxa"/>
          </w:tblCellMar>
        </w:tblPrEx>
        <w:trPr>
          <w:trHeight w:val="270" w:hRule="atLeast"/>
        </w:trPr>
        <w:tc>
          <w:tcPr>
            <w:tcW w:w="11483" w:type="dxa"/>
            <w:gridSpan w:val="10"/>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sz w:val="15"/>
                <w:szCs w:val="15"/>
              </w:rPr>
            </w:pPr>
            <w:r>
              <w:rPr>
                <w:rFonts w:hint="eastAsia" w:ascii="宋体" w:hAnsi="宋体" w:eastAsia="宋体" w:cs="宋体"/>
                <w:sz w:val="15"/>
                <w:szCs w:val="15"/>
              </w:rPr>
              <w:t>（二）相关投资经历</w:t>
            </w:r>
          </w:p>
        </w:tc>
      </w:tr>
      <w:tr>
        <w:tblPrEx>
          <w:tblCellMar>
            <w:top w:w="0" w:type="dxa"/>
            <w:left w:w="108" w:type="dxa"/>
            <w:bottom w:w="0" w:type="dxa"/>
            <w:right w:w="108" w:type="dxa"/>
          </w:tblCellMar>
        </w:tblPrEx>
        <w:trPr>
          <w:trHeight w:val="270" w:hRule="atLeast"/>
        </w:trPr>
        <w:tc>
          <w:tcPr>
            <w:tcW w:w="9649" w:type="dxa"/>
            <w:gridSpan w:val="9"/>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具备拟申请交易权限要求的期权模拟交易经历（仅适用于</w:t>
            </w:r>
            <w:r>
              <w:rPr>
                <w:rFonts w:hint="eastAsia" w:ascii="宋体" w:hAnsi="宋体" w:eastAsia="宋体"/>
                <w:sz w:val="15"/>
                <w:szCs w:val="15"/>
              </w:rPr>
              <w:t>个人投资者</w:t>
            </w:r>
            <w:r>
              <w:rPr>
                <w:rFonts w:hint="eastAsia" w:ascii="宋体" w:hAnsi="宋体" w:eastAsia="宋体" w:cs="宋体"/>
                <w:color w:val="000000"/>
                <w:sz w:val="15"/>
                <w:szCs w:val="15"/>
              </w:rPr>
              <w:t>和</w:t>
            </w:r>
            <w:r>
              <w:rPr>
                <w:rFonts w:hint="eastAsia" w:ascii="宋体" w:hAnsi="宋体" w:eastAsia="宋体"/>
                <w:sz w:val="15"/>
                <w:szCs w:val="15"/>
              </w:rPr>
              <w:t>普通机构投资者</w:t>
            </w:r>
            <w:r>
              <w:rPr>
                <w:rFonts w:hint="eastAsia" w:ascii="宋体" w:hAnsi="宋体" w:eastAsia="宋体" w:cs="宋体"/>
                <w:color w:val="000000"/>
                <w:sz w:val="15"/>
                <w:szCs w:val="15"/>
              </w:rPr>
              <w:t>）</w:t>
            </w:r>
          </w:p>
        </w:tc>
        <w:tc>
          <w:tcPr>
            <w:tcW w:w="1834" w:type="dxa"/>
            <w:tcBorders>
              <w:top w:val="nil"/>
              <w:left w:val="nil"/>
              <w:bottom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9649" w:type="dxa"/>
            <w:gridSpan w:val="9"/>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在证券公司或期货公司开户6个月以上（仅适用于</w:t>
            </w:r>
            <w:r>
              <w:rPr>
                <w:rFonts w:hint="eastAsia" w:ascii="宋体" w:hAnsi="宋体" w:eastAsia="宋体"/>
                <w:sz w:val="15"/>
                <w:szCs w:val="15"/>
              </w:rPr>
              <w:t>个人投资者</w:t>
            </w:r>
            <w:r>
              <w:rPr>
                <w:rFonts w:hint="eastAsia" w:ascii="宋体" w:hAnsi="宋体" w:eastAsia="宋体" w:cs="宋体"/>
                <w:color w:val="000000"/>
                <w:sz w:val="15"/>
                <w:szCs w:val="15"/>
              </w:rPr>
              <w:t>）</w:t>
            </w:r>
          </w:p>
        </w:tc>
        <w:tc>
          <w:tcPr>
            <w:tcW w:w="1834" w:type="dxa"/>
            <w:tcBorders>
              <w:top w:val="nil"/>
              <w:left w:val="nil"/>
              <w:bottom w:val="single" w:color="auto" w:sz="4" w:space="0"/>
              <w:right w:val="single" w:color="auto" w:sz="4" w:space="0"/>
            </w:tcBorders>
          </w:tcPr>
          <w:p>
            <w:pPr>
              <w:jc w:val="cente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9649" w:type="dxa"/>
            <w:gridSpan w:val="9"/>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具备融资融券业务参与资格或者金融期货交易经历（仅适用于</w:t>
            </w:r>
            <w:r>
              <w:rPr>
                <w:rFonts w:hint="eastAsia" w:ascii="宋体" w:hAnsi="宋体" w:eastAsia="宋体"/>
                <w:sz w:val="15"/>
                <w:szCs w:val="15"/>
              </w:rPr>
              <w:t>个人投资者</w:t>
            </w:r>
            <w:r>
              <w:rPr>
                <w:rFonts w:hint="eastAsia" w:ascii="宋体" w:hAnsi="宋体" w:eastAsia="宋体" w:cs="宋体"/>
                <w:color w:val="000000"/>
                <w:sz w:val="15"/>
                <w:szCs w:val="15"/>
              </w:rPr>
              <w:t>）</w:t>
            </w:r>
          </w:p>
        </w:tc>
        <w:tc>
          <w:tcPr>
            <w:tcW w:w="1834" w:type="dxa"/>
            <w:tcBorders>
              <w:top w:val="nil"/>
              <w:left w:val="nil"/>
              <w:bottom w:val="single" w:color="auto" w:sz="4" w:space="0"/>
              <w:right w:val="single" w:color="auto" w:sz="4" w:space="0"/>
            </w:tcBorders>
          </w:tcPr>
          <w:p>
            <w:pPr>
              <w:jc w:val="cente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11483" w:type="dxa"/>
            <w:gridSpan w:val="10"/>
            <w:tcBorders>
              <w:top w:val="single" w:color="auto" w:sz="4" w:space="0"/>
              <w:left w:val="single" w:color="auto" w:sz="4" w:space="0"/>
              <w:bottom w:val="single" w:color="auto" w:sz="4" w:space="0"/>
              <w:right w:val="single" w:color="000000" w:sz="4" w:space="0"/>
            </w:tcBorders>
            <w:vAlign w:val="center"/>
          </w:tcPr>
          <w:p>
            <w:pPr>
              <w:rPr>
                <w:rFonts w:ascii="宋体" w:hAnsi="宋体" w:cs="宋体"/>
                <w:b/>
                <w:bCs/>
                <w:color w:val="000000"/>
                <w:sz w:val="15"/>
                <w:szCs w:val="15"/>
              </w:rPr>
            </w:pPr>
            <w:r>
              <w:rPr>
                <w:rFonts w:hint="eastAsia" w:ascii="宋体" w:hAnsi="宋体" w:eastAsia="宋体" w:cs="宋体"/>
                <w:sz w:val="15"/>
                <w:szCs w:val="15"/>
              </w:rPr>
              <w:t>（三）金融类资产状况</w:t>
            </w:r>
          </w:p>
        </w:tc>
      </w:tr>
      <w:tr>
        <w:tblPrEx>
          <w:tblCellMar>
            <w:top w:w="0" w:type="dxa"/>
            <w:left w:w="108" w:type="dxa"/>
            <w:bottom w:w="0" w:type="dxa"/>
            <w:right w:w="108" w:type="dxa"/>
          </w:tblCellMar>
        </w:tblPrEx>
        <w:trPr>
          <w:trHeight w:val="365" w:hRule="atLeast"/>
        </w:trPr>
        <w:tc>
          <w:tcPr>
            <w:tcW w:w="9649" w:type="dxa"/>
            <w:gridSpan w:val="9"/>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申请开户前20个交易日证券市值与资金账户可用余额（不含融资融券客户信用证券账户内的证券市值和信用资金账户内的资金）人民币50万元以上（仅适用于个人投资者）</w:t>
            </w:r>
          </w:p>
        </w:tc>
        <w:tc>
          <w:tcPr>
            <w:tcW w:w="1834" w:type="dxa"/>
            <w:tcBorders>
              <w:top w:val="nil"/>
              <w:left w:val="nil"/>
              <w:bottom w:val="single" w:color="auto" w:sz="4" w:space="0"/>
              <w:right w:val="single" w:color="auto" w:sz="4" w:space="0"/>
            </w:tcBorders>
            <w:vAlign w:val="center"/>
          </w:tcPr>
          <w:p>
            <w:pPr>
              <w:jc w:val="center"/>
              <w:rPr>
                <w:rFonts w:ascii="宋体" w:hAnsi="宋体" w:eastAsia="宋体" w:cs="宋体"/>
                <w:b/>
                <w:bCs/>
                <w:color w:val="000000"/>
                <w:sz w:val="15"/>
                <w:szCs w:val="15"/>
              </w:rP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413" w:hRule="atLeast"/>
        </w:trPr>
        <w:tc>
          <w:tcPr>
            <w:tcW w:w="9649" w:type="dxa"/>
            <w:gridSpan w:val="9"/>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申请开户前20个交易日证券市值与资金账户可用余额（不含融资融券客户信用证券账户内的证券市值和信用资金账户内的资金）人民币</w:t>
            </w:r>
            <w:r>
              <w:rPr>
                <w:rFonts w:ascii="宋体" w:hAnsi="宋体" w:eastAsia="宋体" w:cs="宋体"/>
                <w:color w:val="000000"/>
                <w:sz w:val="15"/>
                <w:szCs w:val="15"/>
              </w:rPr>
              <w:t>100</w:t>
            </w:r>
            <w:r>
              <w:rPr>
                <w:rFonts w:hint="eastAsia" w:ascii="宋体" w:hAnsi="宋体" w:eastAsia="宋体" w:cs="宋体"/>
                <w:color w:val="000000"/>
                <w:sz w:val="15"/>
                <w:szCs w:val="15"/>
              </w:rPr>
              <w:t>万元以上（仅适用于普通机构投资者）</w:t>
            </w:r>
          </w:p>
        </w:tc>
        <w:tc>
          <w:tcPr>
            <w:tcW w:w="1834" w:type="dxa"/>
            <w:tcBorders>
              <w:top w:val="nil"/>
              <w:left w:val="nil"/>
              <w:bottom w:val="single" w:color="auto" w:sz="4" w:space="0"/>
              <w:right w:val="single" w:color="auto" w:sz="4" w:space="0"/>
            </w:tcBorders>
            <w:vAlign w:val="center"/>
          </w:tcPr>
          <w:p>
            <w:pPr>
              <w:jc w:val="center"/>
              <w:rPr>
                <w:rFonts w:ascii="宋体" w:hAnsi="宋体" w:eastAsia="宋体" w:cs="宋体"/>
                <w:b/>
                <w:bCs/>
                <w:color w:val="000000"/>
                <w:sz w:val="15"/>
                <w:szCs w:val="15"/>
              </w:rP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11483" w:type="dxa"/>
            <w:gridSpan w:val="10"/>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sz w:val="15"/>
                <w:szCs w:val="15"/>
              </w:rPr>
            </w:pPr>
            <w:r>
              <w:rPr>
                <w:rFonts w:hint="eastAsia" w:ascii="宋体" w:hAnsi="宋体" w:eastAsia="宋体" w:cs="宋体"/>
                <w:sz w:val="15"/>
                <w:szCs w:val="15"/>
              </w:rPr>
              <w:t>（四）期权基础知识水平（仅适用于</w:t>
            </w:r>
            <w:r>
              <w:rPr>
                <w:rFonts w:hint="eastAsia" w:ascii="宋体" w:hAnsi="宋体" w:eastAsia="宋体" w:cs="宋体"/>
                <w:color w:val="000000"/>
                <w:sz w:val="15"/>
                <w:szCs w:val="15"/>
              </w:rPr>
              <w:t>个人投资者</w:t>
            </w:r>
            <w:r>
              <w:rPr>
                <w:rFonts w:hint="eastAsia" w:ascii="宋体" w:hAnsi="宋体" w:eastAsia="宋体" w:cs="宋体"/>
                <w:sz w:val="15"/>
                <w:szCs w:val="15"/>
              </w:rPr>
              <w:t>和</w:t>
            </w:r>
            <w:r>
              <w:rPr>
                <w:rFonts w:hint="eastAsia" w:ascii="宋体" w:hAnsi="宋体" w:eastAsia="宋体"/>
                <w:sz w:val="15"/>
                <w:szCs w:val="15"/>
              </w:rPr>
              <w:t>普通机构投资者</w:t>
            </w:r>
            <w:r>
              <w:rPr>
                <w:rFonts w:hint="eastAsia" w:ascii="宋体" w:hAnsi="宋体" w:eastAsia="宋体" w:cs="宋体"/>
                <w:sz w:val="15"/>
                <w:szCs w:val="15"/>
              </w:rPr>
              <w:t>）</w:t>
            </w:r>
          </w:p>
        </w:tc>
      </w:tr>
      <w:tr>
        <w:tblPrEx>
          <w:tblCellMar>
            <w:top w:w="0" w:type="dxa"/>
            <w:left w:w="108" w:type="dxa"/>
            <w:bottom w:w="0" w:type="dxa"/>
            <w:right w:w="108" w:type="dxa"/>
          </w:tblCellMar>
        </w:tblPrEx>
        <w:trPr>
          <w:trHeight w:val="270" w:hRule="atLeast"/>
        </w:trPr>
        <w:tc>
          <w:tcPr>
            <w:tcW w:w="2567" w:type="dxa"/>
            <w:gridSpan w:val="2"/>
            <w:vMerge w:val="restart"/>
            <w:tcBorders>
              <w:top w:val="nil"/>
              <w:left w:val="single" w:color="auto" w:sz="4" w:space="0"/>
              <w:bottom w:val="single" w:color="000000"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期权知识测试成绩</w:t>
            </w:r>
          </w:p>
        </w:tc>
        <w:tc>
          <w:tcPr>
            <w:tcW w:w="2078" w:type="dxa"/>
            <w:gridSpan w:val="2"/>
            <w:tcBorders>
              <w:top w:val="nil"/>
              <w:left w:val="single" w:color="auto" w:sz="4" w:space="0"/>
              <w:bottom w:val="single" w:color="000000"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一级知识测试通过</w:t>
            </w:r>
          </w:p>
        </w:tc>
        <w:tc>
          <w:tcPr>
            <w:tcW w:w="2869" w:type="dxa"/>
            <w:gridSpan w:val="3"/>
            <w:tcBorders>
              <w:top w:val="nil"/>
              <w:left w:val="single" w:color="auto" w:sz="4" w:space="0"/>
              <w:bottom w:val="single" w:color="000000" w:sz="4" w:space="0"/>
              <w:right w:val="single" w:color="auto" w:sz="4" w:space="0"/>
            </w:tcBorders>
          </w:tcPr>
          <w:p>
            <w:pPr>
              <w:jc w:val="cente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c>
          <w:tcPr>
            <w:tcW w:w="2135" w:type="dxa"/>
            <w:gridSpan w:val="2"/>
            <w:tcBorders>
              <w:top w:val="nil"/>
              <w:left w:val="nil"/>
              <w:bottom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三级知识测试通过</w:t>
            </w:r>
          </w:p>
        </w:tc>
        <w:tc>
          <w:tcPr>
            <w:tcW w:w="1834" w:type="dxa"/>
            <w:tcBorders>
              <w:top w:val="nil"/>
              <w:left w:val="nil"/>
              <w:bottom w:val="single" w:color="auto" w:sz="4" w:space="0"/>
              <w:right w:val="single" w:color="auto" w:sz="4" w:space="0"/>
            </w:tcBorders>
          </w:tcPr>
          <w:p>
            <w:pPr>
              <w:jc w:val="cente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2567" w:type="dxa"/>
            <w:gridSpan w:val="2"/>
            <w:vMerge w:val="continue"/>
            <w:tcBorders>
              <w:top w:val="nil"/>
              <w:left w:val="single" w:color="auto" w:sz="4" w:space="0"/>
              <w:bottom w:val="single" w:color="000000" w:sz="4" w:space="0"/>
              <w:right w:val="single" w:color="auto" w:sz="4" w:space="0"/>
            </w:tcBorders>
            <w:vAlign w:val="center"/>
          </w:tcPr>
          <w:p>
            <w:pPr>
              <w:rPr>
                <w:rFonts w:ascii="宋体" w:hAnsi="宋体" w:eastAsia="宋体" w:cs="宋体"/>
                <w:color w:val="000000"/>
                <w:sz w:val="15"/>
                <w:szCs w:val="15"/>
              </w:rPr>
            </w:pPr>
          </w:p>
        </w:tc>
        <w:tc>
          <w:tcPr>
            <w:tcW w:w="2078" w:type="dxa"/>
            <w:gridSpan w:val="2"/>
            <w:tcBorders>
              <w:top w:val="nil"/>
              <w:left w:val="single" w:color="auto" w:sz="4" w:space="0"/>
              <w:bottom w:val="single" w:color="000000"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二级知识测试通过</w:t>
            </w:r>
          </w:p>
        </w:tc>
        <w:tc>
          <w:tcPr>
            <w:tcW w:w="2869" w:type="dxa"/>
            <w:gridSpan w:val="3"/>
            <w:tcBorders>
              <w:top w:val="nil"/>
              <w:left w:val="single" w:color="auto" w:sz="4" w:space="0"/>
              <w:bottom w:val="single" w:color="000000" w:sz="4" w:space="0"/>
              <w:right w:val="single" w:color="auto" w:sz="4" w:space="0"/>
            </w:tcBorders>
          </w:tcPr>
          <w:p>
            <w:pPr>
              <w:jc w:val="cente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c>
          <w:tcPr>
            <w:tcW w:w="2135" w:type="dxa"/>
            <w:gridSpan w:val="2"/>
            <w:tcBorders>
              <w:top w:val="nil"/>
              <w:left w:val="nil"/>
              <w:bottom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综合知识测试通过</w:t>
            </w:r>
          </w:p>
        </w:tc>
        <w:tc>
          <w:tcPr>
            <w:tcW w:w="1834" w:type="dxa"/>
            <w:tcBorders>
              <w:top w:val="nil"/>
              <w:left w:val="nil"/>
              <w:bottom w:val="single" w:color="auto" w:sz="4" w:space="0"/>
              <w:right w:val="single" w:color="auto" w:sz="4" w:space="0"/>
            </w:tcBorders>
          </w:tcPr>
          <w:p>
            <w:pPr>
              <w:jc w:val="cente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4645" w:type="dxa"/>
            <w:gridSpan w:val="4"/>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（五）风险评估（仅适用于个人投资者）</w:t>
            </w:r>
          </w:p>
        </w:tc>
        <w:tc>
          <w:tcPr>
            <w:tcW w:w="6838" w:type="dxa"/>
            <w:gridSpan w:val="6"/>
            <w:tcBorders>
              <w:top w:val="single" w:color="auto" w:sz="4" w:space="0"/>
              <w:left w:val="single" w:color="auto" w:sz="4" w:space="0"/>
              <w:bottom w:val="single" w:color="auto" w:sz="4" w:space="0"/>
              <w:right w:val="single" w:color="000000"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□稳健型</w:t>
            </w:r>
            <w:r>
              <w:rPr>
                <w:rFonts w:ascii="宋体" w:hAnsi="宋体" w:eastAsia="宋体" w:cs="宋体"/>
                <w:color w:val="000000"/>
                <w:sz w:val="15"/>
                <w:szCs w:val="15"/>
              </w:rPr>
              <w:t xml:space="preserve">        </w:t>
            </w:r>
            <w:r>
              <w:rPr>
                <w:rFonts w:hint="eastAsia" w:ascii="宋体" w:hAnsi="宋体" w:eastAsia="宋体" w:cs="宋体"/>
                <w:color w:val="000000"/>
                <w:sz w:val="15"/>
                <w:szCs w:val="15"/>
              </w:rPr>
              <w:t>□积极型</w:t>
            </w:r>
          </w:p>
        </w:tc>
      </w:tr>
      <w:tr>
        <w:tblPrEx>
          <w:tblCellMar>
            <w:top w:w="0" w:type="dxa"/>
            <w:left w:w="108" w:type="dxa"/>
            <w:bottom w:w="0" w:type="dxa"/>
            <w:right w:w="108" w:type="dxa"/>
          </w:tblCellMar>
        </w:tblPrEx>
        <w:trPr>
          <w:trHeight w:val="267" w:hRule="atLeast"/>
        </w:trPr>
        <w:tc>
          <w:tcPr>
            <w:tcW w:w="4645" w:type="dxa"/>
            <w:gridSpan w:val="4"/>
            <w:tcBorders>
              <w:top w:val="nil"/>
              <w:left w:val="single" w:color="auto" w:sz="4" w:space="0"/>
              <w:right w:val="single" w:color="auto"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（六）净资产要求（仅适用于</w:t>
            </w:r>
            <w:r>
              <w:rPr>
                <w:rFonts w:hint="eastAsia" w:ascii="宋体" w:hAnsi="宋体" w:eastAsia="宋体"/>
                <w:sz w:val="15"/>
                <w:szCs w:val="15"/>
              </w:rPr>
              <w:t>普通机构投资者</w:t>
            </w:r>
            <w:r>
              <w:rPr>
                <w:rFonts w:hint="eastAsia" w:ascii="宋体" w:hAnsi="宋体" w:eastAsia="宋体" w:cs="宋体"/>
                <w:color w:val="000000"/>
                <w:sz w:val="15"/>
                <w:szCs w:val="15"/>
              </w:rPr>
              <w:t>）</w:t>
            </w:r>
          </w:p>
        </w:tc>
        <w:tc>
          <w:tcPr>
            <w:tcW w:w="5004" w:type="dxa"/>
            <w:gridSpan w:val="5"/>
            <w:tcBorders>
              <w:top w:val="nil"/>
              <w:left w:val="single" w:color="auto" w:sz="4" w:space="0"/>
              <w:right w:val="single" w:color="auto"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上一季度末净资产不低于人民币</w:t>
            </w:r>
            <w:r>
              <w:rPr>
                <w:rFonts w:ascii="宋体" w:hAnsi="宋体" w:eastAsia="宋体" w:cs="宋体"/>
                <w:color w:val="000000"/>
                <w:sz w:val="15"/>
                <w:szCs w:val="15"/>
              </w:rPr>
              <w:t>100</w:t>
            </w:r>
            <w:r>
              <w:rPr>
                <w:rFonts w:hint="eastAsia" w:ascii="宋体" w:hAnsi="宋体" w:eastAsia="宋体" w:cs="宋体"/>
                <w:color w:val="000000"/>
                <w:sz w:val="15"/>
                <w:szCs w:val="15"/>
              </w:rPr>
              <w:t>万元（新成立的机构取最近净资产）</w:t>
            </w:r>
          </w:p>
        </w:tc>
        <w:tc>
          <w:tcPr>
            <w:tcW w:w="1834" w:type="dxa"/>
            <w:tcBorders>
              <w:top w:val="nil"/>
              <w:left w:val="single" w:color="auto" w:sz="4" w:space="0"/>
              <w:right w:val="single" w:color="auto"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lang w:eastAsia="zh-CN"/>
              </w:rPr>
              <w:t>□</w:t>
            </w: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4645" w:type="dxa"/>
            <w:gridSpan w:val="4"/>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（七）不良诚信记录</w:t>
            </w:r>
          </w:p>
        </w:tc>
        <w:tc>
          <w:tcPr>
            <w:tcW w:w="5004" w:type="dxa"/>
            <w:gridSpan w:val="5"/>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无不良诚信记录</w:t>
            </w:r>
          </w:p>
        </w:tc>
        <w:tc>
          <w:tcPr>
            <w:tcW w:w="1834" w:type="dxa"/>
            <w:tcBorders>
              <w:top w:val="single" w:color="auto" w:sz="4" w:space="0"/>
              <w:left w:val="single" w:color="auto" w:sz="4" w:space="0"/>
              <w:bottom w:val="single" w:color="auto" w:sz="4" w:space="0"/>
              <w:right w:val="single" w:color="000000" w:sz="4" w:space="0"/>
            </w:tcBorders>
            <w:vAlign w:val="center"/>
          </w:tcPr>
          <w:p>
            <w:pPr>
              <w:jc w:val="center"/>
              <w:rPr>
                <w:rFonts w:ascii="宋体" w:hAnsi="宋体" w:eastAsia="宋体" w:cs="宋体"/>
                <w:color w:val="000000"/>
                <w:sz w:val="15"/>
                <w:szCs w:val="15"/>
              </w:rP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11483" w:type="dxa"/>
            <w:gridSpan w:val="10"/>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（八）部分不适用评估的情形</w:t>
            </w:r>
          </w:p>
        </w:tc>
      </w:tr>
      <w:tr>
        <w:tblPrEx>
          <w:tblCellMar>
            <w:top w:w="0" w:type="dxa"/>
            <w:left w:w="108" w:type="dxa"/>
            <w:bottom w:w="0" w:type="dxa"/>
            <w:right w:w="108" w:type="dxa"/>
          </w:tblCellMar>
        </w:tblPrEx>
        <w:trPr>
          <w:trHeight w:val="586" w:hRule="atLeast"/>
        </w:trPr>
        <w:tc>
          <w:tcPr>
            <w:tcW w:w="4538" w:type="dxa"/>
            <w:gridSpan w:val="3"/>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不再对其（二）相关投资经历、（三）金融类资产状况、（四）期权基础知识水平、（五）风险评估、（六）净资产要求</w:t>
            </w:r>
            <w:r>
              <w:rPr>
                <w:rFonts w:ascii="宋体" w:hAnsi="宋体" w:eastAsia="宋体"/>
                <w:color w:val="000000"/>
                <w:sz w:val="15"/>
                <w:szCs w:val="15"/>
              </w:rPr>
              <w:t>进行评估</w:t>
            </w:r>
          </w:p>
        </w:tc>
        <w:tc>
          <w:tcPr>
            <w:tcW w:w="3826" w:type="dxa"/>
            <w:gridSpan w:val="5"/>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已在我司开通上海证券交易所股票期权以及对应交易权限级别证明、申请开通深圳证券交易所股票期权</w:t>
            </w:r>
          </w:p>
        </w:tc>
        <w:tc>
          <w:tcPr>
            <w:tcW w:w="3119"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宋体" w:hAnsi="宋体" w:eastAsia="宋体" w:cs="宋体"/>
                <w:color w:val="000000"/>
                <w:sz w:val="15"/>
                <w:szCs w:val="15"/>
                <w:lang w:eastAsia="zh-CN"/>
              </w:rPr>
            </w:pPr>
            <w:r>
              <w:rPr>
                <w:rFonts w:hint="eastAsia" w:ascii="宋体" w:hAnsi="宋体" w:eastAsia="宋体" w:cs="宋体"/>
                <w:color w:val="000000"/>
                <w:sz w:val="15"/>
                <w:szCs w:val="15"/>
                <w:lang w:eastAsia="zh-CN"/>
              </w:rPr>
              <w:t>□是，</w:t>
            </w:r>
            <w:r>
              <w:rPr>
                <w:rFonts w:hint="eastAsia" w:ascii="宋体" w:hAnsi="宋体" w:eastAsia="宋体" w:cs="宋体"/>
                <w:color w:val="000000"/>
                <w:sz w:val="15"/>
                <w:szCs w:val="15"/>
                <w:lang w:val="en-US" w:eastAsia="zh-CN"/>
              </w:rPr>
              <w:t>风险评估1年内，无需再次风险评估</w:t>
            </w:r>
          </w:p>
          <w:p>
            <w:pPr>
              <w:jc w:val="left"/>
              <w:rPr>
                <w:rFonts w:hint="eastAsia" w:ascii="宋体" w:hAnsi="宋体" w:eastAsia="宋体" w:cs="宋体"/>
                <w:color w:val="000000"/>
                <w:sz w:val="15"/>
                <w:szCs w:val="15"/>
                <w:lang w:val="en-US" w:eastAsia="zh-CN"/>
              </w:rPr>
            </w:pPr>
            <w:r>
              <w:rPr>
                <w:rFonts w:hint="eastAsia" w:ascii="宋体" w:hAnsi="宋体" w:eastAsia="宋体" w:cs="宋体"/>
                <w:color w:val="000000"/>
                <w:sz w:val="15"/>
                <w:szCs w:val="15"/>
              </w:rPr>
              <w:t>□</w:t>
            </w:r>
            <w:r>
              <w:rPr>
                <w:rFonts w:hint="eastAsia" w:ascii="宋体" w:hAnsi="宋体" w:eastAsia="宋体" w:cs="宋体"/>
                <w:color w:val="000000"/>
                <w:sz w:val="15"/>
                <w:szCs w:val="15"/>
                <w:lang w:eastAsia="zh-CN"/>
              </w:rPr>
              <w:t>是，</w:t>
            </w:r>
            <w:r>
              <w:rPr>
                <w:rFonts w:hint="eastAsia" w:ascii="宋体" w:hAnsi="宋体" w:eastAsia="宋体" w:cs="宋体"/>
                <w:color w:val="000000"/>
                <w:sz w:val="15"/>
                <w:szCs w:val="15"/>
                <w:lang w:val="en-US" w:eastAsia="zh-CN"/>
              </w:rPr>
              <w:t>风险评估超过1年，需再次风险评估</w:t>
            </w:r>
          </w:p>
          <w:p>
            <w:pPr>
              <w:jc w:val="left"/>
              <w:rPr>
                <w:rFonts w:hint="default" w:ascii="宋体" w:hAnsi="宋体" w:eastAsia="宋体" w:cs="宋体"/>
                <w:b/>
                <w:bCs/>
                <w:color w:val="000000"/>
                <w:sz w:val="15"/>
                <w:szCs w:val="15"/>
                <w:lang w:val="en-US"/>
              </w:rPr>
            </w:pP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4538" w:type="dxa"/>
            <w:gridSpan w:val="3"/>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不再对其（二）相关投资经历、（三）金融类资产状况、（四）期权基础知识水平、（五）风险评估、（六）净资产要求</w:t>
            </w:r>
            <w:r>
              <w:rPr>
                <w:rFonts w:ascii="宋体" w:hAnsi="宋体" w:eastAsia="宋体"/>
                <w:color w:val="000000"/>
                <w:sz w:val="15"/>
                <w:szCs w:val="15"/>
              </w:rPr>
              <w:t>进行评估</w:t>
            </w:r>
          </w:p>
        </w:tc>
        <w:tc>
          <w:tcPr>
            <w:tcW w:w="3826" w:type="dxa"/>
            <w:gridSpan w:val="5"/>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sz w:val="15"/>
                <w:szCs w:val="15"/>
              </w:rPr>
              <w:t>专业机构投资者</w:t>
            </w:r>
            <w:r>
              <w:rPr>
                <w:rFonts w:hint="eastAsia" w:ascii="宋体" w:hAnsi="宋体" w:eastAsia="宋体" w:cs="宋体"/>
                <w:color w:val="000000"/>
                <w:sz w:val="15"/>
                <w:szCs w:val="15"/>
              </w:rPr>
              <w:t>申请开通上海证券交易所股票期权和深圳证券交易所股票期权</w:t>
            </w:r>
          </w:p>
        </w:tc>
        <w:tc>
          <w:tcPr>
            <w:tcW w:w="3119" w:type="dxa"/>
            <w:gridSpan w:val="2"/>
            <w:tcBorders>
              <w:top w:val="single" w:color="auto" w:sz="4" w:space="0"/>
              <w:left w:val="single" w:color="auto" w:sz="4" w:space="0"/>
              <w:bottom w:val="single" w:color="auto" w:sz="4" w:space="0"/>
              <w:right w:val="single" w:color="000000" w:sz="4" w:space="0"/>
            </w:tcBorders>
          </w:tcPr>
          <w:p>
            <w:pPr>
              <w:jc w:val="cente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4538" w:type="dxa"/>
            <w:gridSpan w:val="3"/>
            <w:tcBorders>
              <w:top w:val="single" w:color="auto" w:sz="4" w:space="0"/>
              <w:left w:val="single" w:color="auto" w:sz="4" w:space="0"/>
              <w:bottom w:val="single" w:color="auto" w:sz="4" w:space="0"/>
              <w:right w:val="single" w:color="000000" w:sz="4" w:space="0"/>
            </w:tcBorders>
            <w:vAlign w:val="center"/>
          </w:tcPr>
          <w:p>
            <w:pPr>
              <w:rPr>
                <w:rFonts w:ascii="宋体" w:hAnsi="宋体" w:eastAsia="宋体" w:cs="宋体"/>
                <w:color w:val="000000"/>
                <w:sz w:val="15"/>
                <w:szCs w:val="15"/>
              </w:rPr>
            </w:pPr>
            <w:r>
              <w:rPr>
                <w:rFonts w:hint="eastAsia" w:ascii="宋体" w:hAnsi="宋体" w:eastAsia="宋体" w:cs="宋体"/>
                <w:color w:val="000000"/>
                <w:sz w:val="15"/>
                <w:szCs w:val="15"/>
              </w:rPr>
              <w:t>不再对其（二）相关投资经历、（四）期权基础知识水平进行评估</w:t>
            </w:r>
          </w:p>
        </w:tc>
        <w:tc>
          <w:tcPr>
            <w:tcW w:w="3826" w:type="dxa"/>
            <w:gridSpan w:val="5"/>
            <w:tcBorders>
              <w:top w:val="single" w:color="auto" w:sz="4" w:space="0"/>
              <w:left w:val="single" w:color="auto" w:sz="4" w:space="0"/>
              <w:bottom w:val="single" w:color="auto" w:sz="4" w:space="0"/>
              <w:right w:val="single" w:color="000000" w:sz="4" w:space="0"/>
            </w:tcBorders>
            <w:vAlign w:val="center"/>
          </w:tcPr>
          <w:p>
            <w:pPr>
              <w:rPr>
                <w:rFonts w:hint="eastAsia" w:ascii="宋体" w:hAnsi="宋体" w:eastAsia="宋体" w:cs="宋体"/>
                <w:color w:val="000000"/>
                <w:sz w:val="15"/>
                <w:szCs w:val="15"/>
                <w:lang w:eastAsia="zh-CN"/>
              </w:rPr>
            </w:pPr>
            <w:r>
              <w:rPr>
                <w:rFonts w:hint="eastAsia" w:ascii="宋体" w:hAnsi="宋体" w:eastAsia="宋体" w:cs="宋体"/>
                <w:color w:val="000000"/>
                <w:sz w:val="15"/>
                <w:szCs w:val="15"/>
              </w:rPr>
              <w:t>已开通上海证券交易所股票期权以及对应交易权限级别证明、申请开通上海证券交易所股票期权</w:t>
            </w:r>
          </w:p>
        </w:tc>
        <w:tc>
          <w:tcPr>
            <w:tcW w:w="3119" w:type="dxa"/>
            <w:gridSpan w:val="2"/>
            <w:tcBorders>
              <w:top w:val="single" w:color="auto" w:sz="4" w:space="0"/>
              <w:left w:val="single" w:color="auto" w:sz="4" w:space="0"/>
              <w:bottom w:val="single" w:color="auto" w:sz="4" w:space="0"/>
              <w:right w:val="single" w:color="000000" w:sz="4" w:space="0"/>
            </w:tcBorders>
          </w:tcPr>
          <w:p>
            <w:pPr>
              <w:jc w:val="cente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lang w:eastAsia="zh-CN"/>
              </w:rPr>
              <w:t>□</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4538" w:type="dxa"/>
            <w:gridSpan w:val="3"/>
            <w:tcBorders>
              <w:top w:val="single" w:color="auto" w:sz="4" w:space="0"/>
              <w:left w:val="single" w:color="auto" w:sz="4" w:space="0"/>
              <w:bottom w:val="single" w:color="auto" w:sz="4" w:space="0"/>
              <w:right w:val="single" w:color="000000" w:sz="4" w:space="0"/>
            </w:tcBorders>
            <w:vAlign w:val="center"/>
          </w:tcPr>
          <w:p>
            <w:pPr>
              <w:rPr>
                <w:rFonts w:hint="eastAsia" w:ascii="宋体" w:hAnsi="宋体" w:eastAsia="宋体" w:cs="宋体"/>
                <w:color w:val="000000"/>
                <w:sz w:val="15"/>
                <w:szCs w:val="15"/>
              </w:rPr>
            </w:pPr>
            <w:r>
              <w:rPr>
                <w:rFonts w:hint="eastAsia" w:ascii="宋体" w:hAnsi="宋体" w:eastAsia="宋体" w:cs="宋体"/>
                <w:color w:val="000000"/>
                <w:sz w:val="15"/>
                <w:szCs w:val="15"/>
              </w:rPr>
              <w:t>不再对其（二）相关投资经历、（四）期权基础知识水平进行评估</w:t>
            </w:r>
          </w:p>
        </w:tc>
        <w:tc>
          <w:tcPr>
            <w:tcW w:w="3826" w:type="dxa"/>
            <w:gridSpan w:val="5"/>
            <w:tcBorders>
              <w:top w:val="single" w:color="auto" w:sz="4" w:space="0"/>
              <w:left w:val="single" w:color="auto" w:sz="4" w:space="0"/>
              <w:bottom w:val="single" w:color="auto" w:sz="4" w:space="0"/>
              <w:right w:val="single" w:color="000000" w:sz="4" w:space="0"/>
            </w:tcBorders>
            <w:vAlign w:val="center"/>
          </w:tcPr>
          <w:p>
            <w:pPr>
              <w:rPr>
                <w:rFonts w:hint="eastAsia" w:ascii="宋体" w:hAnsi="宋体" w:eastAsia="宋体" w:cs="宋体"/>
                <w:color w:val="000000"/>
                <w:sz w:val="15"/>
                <w:szCs w:val="15"/>
              </w:rPr>
            </w:pPr>
            <w:r>
              <w:rPr>
                <w:rFonts w:hint="eastAsia" w:ascii="宋体" w:hAnsi="宋体" w:eastAsia="宋体" w:cs="宋体"/>
                <w:color w:val="000000"/>
                <w:sz w:val="15"/>
                <w:szCs w:val="15"/>
              </w:rPr>
              <w:t>已开通深圳证券交易所股票期权以及对应交易权限级别证明、申请开通深圳证券交易所股票期权。深市衍生品合约账户对应的深市</w:t>
            </w:r>
            <w:r>
              <w:rPr>
                <w:rFonts w:ascii="宋体" w:hAnsi="宋体" w:eastAsia="宋体" w:cs="宋体"/>
                <w:color w:val="000000"/>
                <w:sz w:val="15"/>
                <w:szCs w:val="15"/>
              </w:rPr>
              <w:t>A</w:t>
            </w:r>
            <w:r>
              <w:rPr>
                <w:rFonts w:hint="eastAsia" w:ascii="宋体" w:hAnsi="宋体" w:eastAsia="宋体" w:cs="宋体"/>
                <w:color w:val="000000"/>
                <w:sz w:val="15"/>
                <w:szCs w:val="15"/>
              </w:rPr>
              <w:t>股证券账户：</w:t>
            </w:r>
            <w:r>
              <w:rPr>
                <w:rFonts w:hint="eastAsia" w:ascii="宋体" w:hAnsi="宋体" w:eastAsia="宋体" w:cs="宋体"/>
                <w:color w:val="000000"/>
                <w:sz w:val="15"/>
                <w:szCs w:val="15"/>
                <w:u w:val="single"/>
              </w:rPr>
              <w:t xml:space="preserve">             </w:t>
            </w:r>
          </w:p>
        </w:tc>
        <w:tc>
          <w:tcPr>
            <w:tcW w:w="3119" w:type="dxa"/>
            <w:gridSpan w:val="2"/>
            <w:tcBorders>
              <w:top w:val="single" w:color="auto" w:sz="4" w:space="0"/>
              <w:left w:val="single" w:color="auto" w:sz="4" w:space="0"/>
              <w:bottom w:val="single" w:color="auto" w:sz="4" w:space="0"/>
              <w:right w:val="single" w:color="000000" w:sz="4" w:space="0"/>
            </w:tcBorders>
          </w:tcPr>
          <w:p>
            <w:pPr>
              <w:jc w:val="center"/>
              <w:rPr>
                <w:rFonts w:hint="eastAsia" w:ascii="宋体" w:hAnsi="宋体" w:eastAsia="宋体" w:cs="宋体"/>
                <w:color w:val="000000"/>
                <w:sz w:val="15"/>
                <w:szCs w:val="15"/>
              </w:rPr>
            </w:pPr>
            <w:r>
              <w:rPr>
                <w:rFonts w:hint="eastAsia" w:ascii="宋体" w:hAnsi="宋体" w:eastAsia="宋体" w:cs="宋体"/>
                <w:color w:val="000000"/>
                <w:sz w:val="15"/>
                <w:szCs w:val="15"/>
              </w:rPr>
              <w:t>□是</w:t>
            </w:r>
            <w:r>
              <w:rPr>
                <w:rFonts w:ascii="宋体" w:hAnsi="宋体" w:eastAsia="宋体" w:cs="宋体"/>
                <w:color w:val="000000"/>
                <w:sz w:val="15"/>
                <w:szCs w:val="15"/>
              </w:rPr>
              <w:t xml:space="preserve"> </w:t>
            </w:r>
            <w:r>
              <w:rPr>
                <w:rFonts w:hint="eastAsia" w:ascii="宋体" w:hAnsi="宋体" w:eastAsia="宋体" w:cs="宋体"/>
                <w:color w:val="000000"/>
                <w:sz w:val="15"/>
                <w:szCs w:val="15"/>
              </w:rPr>
              <w:t>□否</w:t>
            </w:r>
          </w:p>
        </w:tc>
      </w:tr>
      <w:tr>
        <w:tblPrEx>
          <w:tblCellMar>
            <w:top w:w="0" w:type="dxa"/>
            <w:left w:w="108" w:type="dxa"/>
            <w:bottom w:w="0" w:type="dxa"/>
            <w:right w:w="108" w:type="dxa"/>
          </w:tblCellMar>
        </w:tblPrEx>
        <w:trPr>
          <w:trHeight w:val="270" w:hRule="atLeast"/>
        </w:trPr>
        <w:tc>
          <w:tcPr>
            <w:tcW w:w="11483" w:type="dxa"/>
            <w:gridSpan w:val="10"/>
            <w:tcBorders>
              <w:top w:val="single" w:color="auto" w:sz="4" w:space="0"/>
              <w:left w:val="single" w:color="auto" w:sz="4" w:space="0"/>
              <w:bottom w:val="single" w:color="auto" w:sz="4" w:space="0"/>
              <w:right w:val="single" w:color="000000" w:sz="4" w:space="0"/>
            </w:tcBorders>
            <w:vAlign w:val="center"/>
          </w:tcPr>
          <w:p>
            <w:pPr>
              <w:spacing w:line="280" w:lineRule="exact"/>
              <w:rPr>
                <w:rFonts w:ascii="宋体" w:hAnsi="宋体" w:eastAsia="宋体"/>
                <w:sz w:val="13"/>
                <w:szCs w:val="13"/>
              </w:rPr>
            </w:pPr>
            <w:r>
              <w:rPr>
                <w:rFonts w:hint="eastAsia" w:ascii="宋体" w:hAnsi="宋体" w:eastAsia="宋体"/>
                <w:sz w:val="13"/>
                <w:szCs w:val="13"/>
              </w:rPr>
              <w:t>本人/本单位承诺：</w:t>
            </w:r>
          </w:p>
          <w:p>
            <w:pPr>
              <w:spacing w:line="280" w:lineRule="exact"/>
              <w:ind w:firstLine="130" w:firstLineChars="100"/>
              <w:rPr>
                <w:rFonts w:ascii="宋体" w:hAnsi="宋体" w:eastAsia="宋体"/>
                <w:sz w:val="13"/>
                <w:szCs w:val="13"/>
              </w:rPr>
            </w:pPr>
            <w:r>
              <w:rPr>
                <w:rFonts w:hint="eastAsia" w:ascii="宋体" w:hAnsi="宋体" w:eastAsia="宋体"/>
                <w:sz w:val="13"/>
                <w:szCs w:val="13"/>
              </w:rPr>
              <w:t>1、本人/本单位有能力承担风险，并保证资金来源的合法性，所提供关于交易者适当性材料真实、有效，</w:t>
            </w:r>
            <w:r>
              <w:rPr>
                <w:rFonts w:ascii="宋体" w:hAnsi="宋体" w:eastAsia="宋体"/>
                <w:sz w:val="13"/>
                <w:szCs w:val="13"/>
              </w:rPr>
              <w:t>不</w:t>
            </w:r>
            <w:r>
              <w:rPr>
                <w:rFonts w:hint="eastAsia" w:ascii="宋体" w:hAnsi="宋体" w:eastAsia="宋体"/>
                <w:sz w:val="13"/>
                <w:szCs w:val="13"/>
              </w:rPr>
              <w:t>存在</w:t>
            </w:r>
            <w:r>
              <w:rPr>
                <w:rFonts w:ascii="宋体" w:hAnsi="宋体" w:eastAsia="宋体"/>
                <w:sz w:val="13"/>
                <w:szCs w:val="13"/>
              </w:rPr>
              <w:t>虚假性、误导性或者遗漏重要事实的申报、陈述、解释或者说明</w:t>
            </w:r>
            <w:r>
              <w:rPr>
                <w:rFonts w:hint="eastAsia" w:ascii="宋体" w:hAnsi="宋体" w:eastAsia="宋体"/>
                <w:sz w:val="13"/>
                <w:szCs w:val="13"/>
              </w:rPr>
              <w:t>；</w:t>
            </w:r>
          </w:p>
          <w:p>
            <w:pPr>
              <w:spacing w:line="280" w:lineRule="exact"/>
              <w:ind w:firstLine="130" w:firstLineChars="100"/>
              <w:rPr>
                <w:rFonts w:ascii="宋体" w:hAnsi="宋体" w:eastAsia="宋体"/>
                <w:sz w:val="13"/>
                <w:szCs w:val="13"/>
              </w:rPr>
            </w:pPr>
            <w:r>
              <w:rPr>
                <w:rFonts w:ascii="宋体" w:hAnsi="宋体" w:eastAsia="宋体" w:cs="宋体"/>
                <w:color w:val="000000"/>
                <w:sz w:val="13"/>
                <w:szCs w:val="13"/>
              </w:rPr>
              <w:t>2</w:t>
            </w:r>
            <w:r>
              <w:rPr>
                <w:rFonts w:hint="eastAsia" w:ascii="宋体" w:hAnsi="宋体" w:eastAsia="宋体" w:cs="宋体"/>
                <w:color w:val="000000"/>
                <w:sz w:val="13"/>
                <w:szCs w:val="13"/>
              </w:rPr>
              <w:t>、</w:t>
            </w:r>
            <w:r>
              <w:rPr>
                <w:rFonts w:hint="eastAsia" w:ascii="宋体" w:hAnsi="宋体" w:eastAsia="宋体"/>
                <w:sz w:val="13"/>
                <w:szCs w:val="13"/>
              </w:rPr>
              <w:t>本人/本单位主动申请开通股票期权的；</w:t>
            </w:r>
          </w:p>
          <w:p>
            <w:pPr>
              <w:spacing w:line="280" w:lineRule="exact"/>
              <w:ind w:firstLine="130" w:firstLineChars="100"/>
              <w:rPr>
                <w:rFonts w:ascii="宋体" w:hAnsi="宋体" w:eastAsia="宋体" w:cs="宋体"/>
                <w:sz w:val="13"/>
                <w:szCs w:val="13"/>
              </w:rPr>
            </w:pPr>
            <w:r>
              <w:rPr>
                <w:rFonts w:hint="eastAsia" w:ascii="宋体" w:hAnsi="宋体" w:eastAsia="宋体"/>
                <w:sz w:val="13"/>
                <w:szCs w:val="13"/>
              </w:rPr>
              <w:t>3、本人/本单位指令下达人</w:t>
            </w:r>
            <w:r>
              <w:rPr>
                <w:rFonts w:hint="eastAsia" w:ascii="宋体" w:hAnsi="宋体" w:eastAsia="宋体" w:cs="宋体"/>
                <w:color w:val="000000"/>
                <w:sz w:val="13"/>
                <w:szCs w:val="13"/>
              </w:rPr>
              <w:t>具备股票期权交易基础知识，了解</w:t>
            </w:r>
            <w:r>
              <w:rPr>
                <w:rFonts w:hint="eastAsia" w:ascii="宋体" w:hAnsi="宋体" w:eastAsia="宋体"/>
                <w:sz w:val="13"/>
                <w:szCs w:val="13"/>
              </w:rPr>
              <w:t>交易者适当性、股票期权合约</w:t>
            </w:r>
            <w:r>
              <w:rPr>
                <w:rFonts w:hint="eastAsia" w:ascii="宋体" w:hAnsi="宋体" w:eastAsia="宋体" w:cs="宋体"/>
                <w:color w:val="000000"/>
                <w:sz w:val="13"/>
                <w:szCs w:val="13"/>
              </w:rPr>
              <w:t>相关业务规则</w:t>
            </w:r>
            <w:r>
              <w:rPr>
                <w:rFonts w:hint="eastAsia" w:ascii="宋体" w:hAnsi="宋体" w:eastAsia="宋体" w:cs="宋体"/>
                <w:sz w:val="13"/>
                <w:szCs w:val="13"/>
              </w:rPr>
              <w:t>；</w:t>
            </w:r>
          </w:p>
          <w:p>
            <w:pPr>
              <w:spacing w:line="280" w:lineRule="exact"/>
              <w:ind w:firstLine="130" w:firstLineChars="100"/>
              <w:rPr>
                <w:rFonts w:ascii="宋体" w:hAnsi="宋体" w:eastAsia="宋体" w:cs="宋体"/>
                <w:color w:val="000000"/>
                <w:sz w:val="13"/>
                <w:szCs w:val="13"/>
              </w:rPr>
            </w:pPr>
            <w:r>
              <w:rPr>
                <w:rFonts w:hint="eastAsia" w:ascii="宋体" w:hAnsi="宋体" w:eastAsia="宋体" w:cs="宋体"/>
                <w:sz w:val="13"/>
                <w:szCs w:val="13"/>
              </w:rPr>
              <w:t>4、</w:t>
            </w:r>
            <w:r>
              <w:rPr>
                <w:rFonts w:hint="eastAsia" w:ascii="宋体" w:hAnsi="宋体" w:eastAsia="宋体"/>
                <w:sz w:val="13"/>
                <w:szCs w:val="13"/>
              </w:rPr>
              <w:t>本人/本单位遵守买买自负的原则，承担股票期权交易的履约责任，不以不符合交易者适当性标准为由拒绝承担股票期权交易履约责任；</w:t>
            </w:r>
          </w:p>
          <w:p>
            <w:pPr>
              <w:spacing w:line="280" w:lineRule="exact"/>
              <w:ind w:firstLine="130" w:firstLineChars="100"/>
              <w:rPr>
                <w:rFonts w:ascii="宋体" w:hAnsi="宋体" w:eastAsia="宋体" w:cs="宋体"/>
                <w:color w:val="000000"/>
                <w:sz w:val="13"/>
                <w:szCs w:val="13"/>
              </w:rPr>
            </w:pPr>
            <w:r>
              <w:rPr>
                <w:rFonts w:ascii="宋体" w:hAnsi="宋体" w:eastAsia="宋体" w:cs="宋体"/>
                <w:color w:val="000000"/>
                <w:sz w:val="13"/>
                <w:szCs w:val="13"/>
              </w:rPr>
              <w:t>5</w:t>
            </w:r>
            <w:r>
              <w:rPr>
                <w:rFonts w:hint="eastAsia" w:ascii="宋体" w:hAnsi="宋体" w:eastAsia="宋体" w:cs="宋体"/>
                <w:color w:val="000000"/>
                <w:sz w:val="13"/>
                <w:szCs w:val="13"/>
              </w:rPr>
              <w:t>、本人</w:t>
            </w:r>
            <w:r>
              <w:rPr>
                <w:rFonts w:hint="eastAsia" w:ascii="宋体" w:hAnsi="宋体" w:eastAsia="宋体"/>
                <w:sz w:val="13"/>
                <w:szCs w:val="13"/>
              </w:rPr>
              <w:t>/</w:t>
            </w:r>
            <w:r>
              <w:rPr>
                <w:rFonts w:hint="eastAsia" w:ascii="宋体" w:hAnsi="宋体" w:eastAsia="宋体" w:cs="宋体"/>
                <w:color w:val="000000"/>
                <w:sz w:val="13"/>
                <w:szCs w:val="13"/>
              </w:rPr>
              <w:t>本单位已知悉申请开立合约账户，其合约账户对应的证券账户须已在银河期货有限公司使用，并已申报账户使用信息</w:t>
            </w:r>
            <w:r>
              <w:rPr>
                <w:rFonts w:hint="eastAsia" w:ascii="宋体" w:hAnsi="宋体" w:eastAsia="宋体" w:cs="宋体"/>
                <w:sz w:val="13"/>
                <w:szCs w:val="13"/>
              </w:rPr>
              <w:t>；</w:t>
            </w:r>
          </w:p>
          <w:p>
            <w:pPr>
              <w:spacing w:line="280" w:lineRule="exact"/>
              <w:ind w:firstLine="130" w:firstLineChars="100"/>
              <w:rPr>
                <w:rFonts w:ascii="宋体" w:hAnsi="宋体" w:eastAsia="宋体"/>
                <w:sz w:val="13"/>
                <w:szCs w:val="13"/>
              </w:rPr>
            </w:pPr>
            <w:r>
              <w:rPr>
                <w:rFonts w:ascii="宋体" w:hAnsi="宋体" w:eastAsia="宋体" w:cs="宋体"/>
                <w:color w:val="000000"/>
                <w:sz w:val="13"/>
                <w:szCs w:val="13"/>
              </w:rPr>
              <w:t>6</w:t>
            </w:r>
            <w:r>
              <w:rPr>
                <w:rFonts w:hint="eastAsia" w:ascii="宋体" w:hAnsi="宋体" w:eastAsia="宋体" w:cs="宋体"/>
                <w:color w:val="000000"/>
                <w:sz w:val="13"/>
                <w:szCs w:val="13"/>
              </w:rPr>
              <w:t>、本人</w:t>
            </w:r>
            <w:r>
              <w:rPr>
                <w:rFonts w:hint="eastAsia" w:ascii="宋体" w:hAnsi="宋体" w:eastAsia="宋体"/>
                <w:sz w:val="13"/>
                <w:szCs w:val="13"/>
              </w:rPr>
              <w:t>/</w:t>
            </w:r>
            <w:r>
              <w:rPr>
                <w:rFonts w:hint="eastAsia" w:ascii="宋体" w:hAnsi="宋体" w:eastAsia="宋体" w:cs="宋体"/>
                <w:color w:val="000000"/>
                <w:sz w:val="13"/>
                <w:szCs w:val="13"/>
              </w:rPr>
              <w:t>本单位对所提供相关证明材料的真实性负责，并自愿承担因材料不实导致的一切后果</w:t>
            </w:r>
            <w:r>
              <w:rPr>
                <w:rFonts w:hint="eastAsia" w:ascii="宋体" w:hAnsi="宋体" w:eastAsia="宋体" w:cs="宋体"/>
                <w:sz w:val="13"/>
                <w:szCs w:val="13"/>
              </w:rPr>
              <w:t>；</w:t>
            </w:r>
          </w:p>
          <w:p>
            <w:pPr>
              <w:spacing w:line="280" w:lineRule="exact"/>
              <w:ind w:firstLine="130" w:firstLineChars="100"/>
              <w:rPr>
                <w:rFonts w:ascii="宋体" w:hAnsi="宋体" w:eastAsia="宋体" w:cs="宋体"/>
                <w:color w:val="000000"/>
                <w:sz w:val="13"/>
                <w:szCs w:val="13"/>
              </w:rPr>
            </w:pPr>
            <w:r>
              <w:rPr>
                <w:rFonts w:ascii="宋体" w:hAnsi="宋体" w:eastAsia="宋体" w:cs="宋体"/>
                <w:color w:val="000000"/>
                <w:sz w:val="13"/>
                <w:szCs w:val="13"/>
              </w:rPr>
              <w:t>7</w:t>
            </w:r>
            <w:r>
              <w:rPr>
                <w:rFonts w:hint="eastAsia" w:ascii="宋体" w:hAnsi="宋体" w:eastAsia="宋体" w:cs="宋体"/>
                <w:color w:val="000000"/>
                <w:sz w:val="13"/>
                <w:szCs w:val="13"/>
              </w:rPr>
              <w:t>、本人</w:t>
            </w:r>
            <w:r>
              <w:rPr>
                <w:rFonts w:hint="eastAsia" w:ascii="宋体" w:hAnsi="宋体" w:eastAsia="宋体"/>
                <w:sz w:val="13"/>
                <w:szCs w:val="13"/>
              </w:rPr>
              <w:t>/</w:t>
            </w:r>
            <w:r>
              <w:rPr>
                <w:rFonts w:hint="eastAsia" w:ascii="宋体" w:hAnsi="宋体" w:eastAsia="宋体" w:cs="宋体"/>
                <w:color w:val="000000"/>
                <w:sz w:val="13"/>
                <w:szCs w:val="13"/>
              </w:rPr>
              <w:t>本单位不存在重大未申报的不良信用记录</w:t>
            </w:r>
            <w:r>
              <w:rPr>
                <w:rFonts w:hint="eastAsia" w:ascii="宋体" w:hAnsi="宋体" w:eastAsia="宋体" w:cs="宋体"/>
                <w:sz w:val="13"/>
                <w:szCs w:val="13"/>
              </w:rPr>
              <w:t>；</w:t>
            </w:r>
          </w:p>
          <w:p>
            <w:pPr>
              <w:spacing w:line="280" w:lineRule="exact"/>
              <w:ind w:firstLine="130" w:firstLineChars="100"/>
              <w:rPr>
                <w:rFonts w:ascii="宋体" w:hAnsi="宋体" w:eastAsia="宋体" w:cs="宋体"/>
                <w:color w:val="000000"/>
                <w:sz w:val="13"/>
                <w:szCs w:val="13"/>
              </w:rPr>
            </w:pPr>
            <w:r>
              <w:rPr>
                <w:rFonts w:ascii="宋体" w:hAnsi="宋体" w:eastAsia="宋体" w:cs="宋体"/>
                <w:color w:val="000000"/>
                <w:sz w:val="13"/>
                <w:szCs w:val="13"/>
              </w:rPr>
              <w:t>8</w:t>
            </w:r>
            <w:r>
              <w:rPr>
                <w:rFonts w:hint="eastAsia" w:ascii="宋体" w:hAnsi="宋体" w:eastAsia="宋体" w:cs="宋体"/>
                <w:color w:val="000000"/>
                <w:sz w:val="13"/>
                <w:szCs w:val="13"/>
              </w:rPr>
              <w:t>、本人</w:t>
            </w:r>
            <w:r>
              <w:rPr>
                <w:rFonts w:hint="eastAsia" w:ascii="宋体" w:hAnsi="宋体" w:eastAsia="宋体"/>
                <w:sz w:val="13"/>
                <w:szCs w:val="13"/>
              </w:rPr>
              <w:t>/</w:t>
            </w:r>
            <w:r>
              <w:rPr>
                <w:rFonts w:hint="eastAsia" w:ascii="宋体" w:hAnsi="宋体" w:eastAsia="宋体" w:cs="宋体"/>
                <w:color w:val="000000"/>
                <w:sz w:val="13"/>
                <w:szCs w:val="13"/>
              </w:rPr>
              <w:t>本单位不存在证券市场禁入以及法律、行政法规、规章和证券交易所业务规则禁止从事期权交易的情形</w:t>
            </w:r>
            <w:r>
              <w:rPr>
                <w:rFonts w:hint="eastAsia" w:ascii="宋体" w:hAnsi="宋体" w:eastAsia="宋体" w:cs="宋体"/>
                <w:sz w:val="13"/>
                <w:szCs w:val="13"/>
              </w:rPr>
              <w:t>；</w:t>
            </w:r>
          </w:p>
          <w:p>
            <w:pPr>
              <w:spacing w:line="280" w:lineRule="exact"/>
              <w:ind w:firstLine="130" w:firstLineChars="100"/>
              <w:rPr>
                <w:rFonts w:ascii="宋体" w:hAnsi="宋体" w:eastAsia="宋体" w:cs="宋体"/>
                <w:color w:val="000000"/>
                <w:sz w:val="13"/>
                <w:szCs w:val="13"/>
              </w:rPr>
            </w:pPr>
            <w:r>
              <w:rPr>
                <w:rFonts w:ascii="宋体" w:hAnsi="宋体" w:eastAsia="宋体" w:cs="宋体"/>
                <w:color w:val="000000"/>
                <w:sz w:val="13"/>
                <w:szCs w:val="13"/>
              </w:rPr>
              <w:t>9</w:t>
            </w:r>
            <w:r>
              <w:rPr>
                <w:rFonts w:hint="eastAsia" w:ascii="宋体" w:hAnsi="宋体" w:eastAsia="宋体" w:cs="宋体"/>
                <w:color w:val="000000"/>
                <w:sz w:val="13"/>
                <w:szCs w:val="13"/>
              </w:rPr>
              <w:t>、本人</w:t>
            </w:r>
            <w:r>
              <w:rPr>
                <w:rFonts w:hint="eastAsia" w:ascii="宋体" w:hAnsi="宋体" w:eastAsia="宋体"/>
                <w:sz w:val="13"/>
                <w:szCs w:val="13"/>
              </w:rPr>
              <w:t>/</w:t>
            </w:r>
            <w:r>
              <w:rPr>
                <w:rFonts w:hint="eastAsia" w:ascii="宋体" w:hAnsi="宋体" w:eastAsia="宋体" w:cs="宋体"/>
                <w:color w:val="000000"/>
                <w:sz w:val="13"/>
                <w:szCs w:val="13"/>
              </w:rPr>
              <w:t>本单位已了解深沪两市股票期权交易制度的区别；</w:t>
            </w:r>
          </w:p>
          <w:p>
            <w:pPr>
              <w:spacing w:line="280" w:lineRule="exact"/>
              <w:ind w:firstLine="130" w:firstLineChars="100"/>
              <w:rPr>
                <w:rFonts w:ascii="宋体" w:hAnsi="宋体" w:eastAsia="宋体" w:cs="宋体"/>
                <w:sz w:val="13"/>
                <w:szCs w:val="13"/>
              </w:rPr>
            </w:pPr>
            <w:r>
              <w:rPr>
                <w:rFonts w:ascii="宋体" w:hAnsi="宋体" w:eastAsia="宋体" w:cs="宋体"/>
                <w:color w:val="000000"/>
                <w:sz w:val="13"/>
                <w:szCs w:val="13"/>
              </w:rPr>
              <w:t>10</w:t>
            </w:r>
            <w:r>
              <w:rPr>
                <w:rFonts w:hint="eastAsia" w:ascii="宋体" w:hAnsi="宋体" w:eastAsia="宋体" w:cs="宋体"/>
                <w:color w:val="000000"/>
                <w:sz w:val="13"/>
                <w:szCs w:val="13"/>
              </w:rPr>
              <w:t>、本人身体健康，不存在不适宜从事期权交易的情形</w:t>
            </w:r>
            <w:r>
              <w:rPr>
                <w:rFonts w:hint="eastAsia" w:ascii="宋体" w:hAnsi="宋体" w:eastAsia="宋体" w:cs="宋体"/>
                <w:sz w:val="13"/>
                <w:szCs w:val="13"/>
              </w:rPr>
              <w:t>；</w:t>
            </w:r>
          </w:p>
          <w:p>
            <w:pPr>
              <w:spacing w:line="280" w:lineRule="exact"/>
              <w:ind w:firstLine="130" w:firstLineChars="100"/>
              <w:rPr>
                <w:rFonts w:ascii="宋体" w:hAnsi="宋体" w:eastAsia="宋体" w:cs="宋体"/>
                <w:color w:val="000000"/>
                <w:sz w:val="13"/>
                <w:szCs w:val="13"/>
              </w:rPr>
            </w:pPr>
            <w:r>
              <w:rPr>
                <w:rFonts w:hint="eastAsia" w:ascii="宋体" w:hAnsi="宋体" w:eastAsia="宋体" w:cs="宋体"/>
                <w:sz w:val="13"/>
                <w:szCs w:val="13"/>
              </w:rPr>
              <w:t>11、</w:t>
            </w:r>
            <w:r>
              <w:rPr>
                <w:rFonts w:hint="eastAsia" w:ascii="宋体" w:hAnsi="宋体" w:eastAsia="宋体"/>
                <w:sz w:val="13"/>
                <w:szCs w:val="13"/>
              </w:rPr>
              <w:t>本单位（涉及外商投资企业）直接或间接用于证券投资的资金不属于企业资本金及其结汇所得人民币。</w:t>
            </w:r>
          </w:p>
          <w:p>
            <w:pPr>
              <w:rPr>
                <w:rFonts w:ascii="宋体" w:hAnsi="宋体" w:eastAsia="宋体"/>
                <w:color w:val="000000"/>
                <w:sz w:val="15"/>
                <w:szCs w:val="15"/>
              </w:rPr>
            </w:pPr>
            <w:r>
              <w:rPr>
                <w:rFonts w:hint="eastAsia" w:ascii="宋体" w:hAnsi="宋体" w:eastAsia="宋体"/>
                <w:b/>
                <w:bCs/>
                <w:color w:val="000000"/>
                <w:sz w:val="15"/>
                <w:szCs w:val="15"/>
              </w:rPr>
              <w:t xml:space="preserve">                                                                客户签字</w:t>
            </w:r>
            <w:r>
              <w:rPr>
                <w:rFonts w:hint="eastAsia" w:ascii="宋体" w:hAnsi="宋体" w:eastAsia="宋体"/>
                <w:color w:val="000000"/>
                <w:sz w:val="15"/>
                <w:szCs w:val="15"/>
              </w:rPr>
              <w:t>：</w:t>
            </w:r>
            <w:r>
              <w:rPr>
                <w:rFonts w:hint="eastAsia" w:ascii="宋体" w:hAnsi="宋体" w:eastAsia="宋体"/>
                <w:color w:val="000000"/>
                <w:sz w:val="15"/>
                <w:szCs w:val="15"/>
                <w:lang w:val="en-US" w:eastAsia="zh-CN"/>
              </w:rPr>
              <w:t xml:space="preserve">                    </w:t>
            </w:r>
            <w:r>
              <w:rPr>
                <w:rFonts w:hint="eastAsia" w:ascii="宋体" w:hAnsi="宋体" w:eastAsia="宋体"/>
                <w:sz w:val="15"/>
                <w:szCs w:val="15"/>
              </w:rPr>
              <w:t>（单位客户法定代表人（负责人）或授权代表人签字并加盖公章）</w:t>
            </w:r>
          </w:p>
          <w:p>
            <w:pPr>
              <w:ind w:firstLine="4834" w:firstLineChars="3210"/>
              <w:rPr>
                <w:rFonts w:ascii="宋体" w:hAnsi="宋体" w:eastAsia="宋体" w:cs="宋体"/>
                <w:color w:val="000000"/>
                <w:sz w:val="15"/>
                <w:szCs w:val="15"/>
              </w:rPr>
            </w:pPr>
            <w:r>
              <w:rPr>
                <w:rFonts w:hint="eastAsia" w:ascii="宋体" w:hAnsi="宋体" w:eastAsia="宋体"/>
                <w:b/>
                <w:color w:val="000000"/>
                <w:sz w:val="15"/>
                <w:szCs w:val="15"/>
              </w:rPr>
              <w:t>申请日期：</w:t>
            </w:r>
            <w:r>
              <w:rPr>
                <w:rFonts w:hint="eastAsia" w:ascii="宋体" w:hAnsi="宋体" w:eastAsia="宋体"/>
                <w:sz w:val="15"/>
                <w:szCs w:val="15"/>
              </w:rPr>
              <w:t xml:space="preserve">     </w:t>
            </w:r>
          </w:p>
        </w:tc>
      </w:tr>
      <w:tr>
        <w:tblPrEx>
          <w:tblCellMar>
            <w:top w:w="0" w:type="dxa"/>
            <w:left w:w="108" w:type="dxa"/>
            <w:bottom w:w="0" w:type="dxa"/>
            <w:right w:w="108" w:type="dxa"/>
          </w:tblCellMar>
        </w:tblPrEx>
        <w:trPr>
          <w:trHeight w:val="501" w:hRule="atLeast"/>
        </w:trPr>
        <w:tc>
          <w:tcPr>
            <w:tcW w:w="464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
                <w:color w:val="000000"/>
                <w:sz w:val="15"/>
                <w:szCs w:val="15"/>
              </w:rPr>
            </w:pPr>
            <w:r>
              <w:rPr>
                <w:rFonts w:hint="eastAsia" w:ascii="宋体" w:hAnsi="宋体" w:eastAsia="宋体" w:cs="宋体"/>
                <w:b/>
                <w:bCs/>
                <w:color w:val="000000"/>
                <w:sz w:val="15"/>
                <w:szCs w:val="15"/>
              </w:rPr>
              <w:t xml:space="preserve">分支机构开户经办人（签字）： </w:t>
            </w:r>
            <w:r>
              <w:rPr>
                <w:rFonts w:ascii="宋体" w:hAnsi="宋体" w:eastAsia="宋体" w:cs="宋体"/>
                <w:b/>
                <w:bCs/>
                <w:color w:val="000000"/>
                <w:sz w:val="15"/>
                <w:szCs w:val="15"/>
              </w:rPr>
              <w:t xml:space="preserve">                                   </w:t>
            </w:r>
          </w:p>
        </w:tc>
        <w:tc>
          <w:tcPr>
            <w:tcW w:w="6838" w:type="dxa"/>
            <w:gridSpan w:val="6"/>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
                <w:color w:val="000000"/>
                <w:sz w:val="15"/>
                <w:szCs w:val="15"/>
              </w:rPr>
            </w:pPr>
            <w:r>
              <w:rPr>
                <w:rFonts w:hint="eastAsia" w:ascii="宋体" w:hAnsi="宋体" w:eastAsia="宋体" w:cs="宋体"/>
                <w:b/>
                <w:color w:val="000000"/>
                <w:sz w:val="15"/>
                <w:szCs w:val="15"/>
              </w:rPr>
              <w:t>日期：</w:t>
            </w:r>
          </w:p>
        </w:tc>
      </w:tr>
      <w:tr>
        <w:tblPrEx>
          <w:tblCellMar>
            <w:top w:w="0" w:type="dxa"/>
            <w:left w:w="108" w:type="dxa"/>
            <w:bottom w:w="0" w:type="dxa"/>
            <w:right w:w="108" w:type="dxa"/>
          </w:tblCellMar>
        </w:tblPrEx>
        <w:trPr>
          <w:trHeight w:val="391" w:hRule="atLeast"/>
        </w:trPr>
        <w:tc>
          <w:tcPr>
            <w:tcW w:w="464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
                <w:bCs/>
                <w:color w:val="000000"/>
                <w:sz w:val="15"/>
                <w:szCs w:val="15"/>
              </w:rPr>
            </w:pPr>
            <w:r>
              <w:rPr>
                <w:rFonts w:hint="eastAsia" w:ascii="宋体" w:hAnsi="宋体" w:eastAsia="宋体" w:cs="宋体"/>
                <w:b/>
                <w:bCs/>
                <w:color w:val="000000"/>
                <w:sz w:val="15"/>
                <w:szCs w:val="15"/>
              </w:rPr>
              <w:t>分支机构负责人或其授权人（签字）：</w:t>
            </w:r>
          </w:p>
        </w:tc>
        <w:tc>
          <w:tcPr>
            <w:tcW w:w="6838" w:type="dxa"/>
            <w:gridSpan w:val="6"/>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
                <w:color w:val="000000"/>
                <w:sz w:val="15"/>
                <w:szCs w:val="15"/>
              </w:rPr>
            </w:pPr>
            <w:r>
              <w:rPr>
                <w:rFonts w:hint="eastAsia" w:ascii="宋体" w:hAnsi="宋体" w:eastAsia="宋体" w:cs="宋体"/>
                <w:b/>
                <w:color w:val="000000"/>
                <w:sz w:val="15"/>
                <w:szCs w:val="15"/>
              </w:rPr>
              <w:t>日期：</w:t>
            </w:r>
          </w:p>
        </w:tc>
      </w:tr>
      <w:tr>
        <w:tblPrEx>
          <w:tblCellMar>
            <w:top w:w="0" w:type="dxa"/>
            <w:left w:w="108" w:type="dxa"/>
            <w:bottom w:w="0" w:type="dxa"/>
            <w:right w:w="108" w:type="dxa"/>
          </w:tblCellMar>
        </w:tblPrEx>
        <w:trPr>
          <w:trHeight w:val="422" w:hRule="atLeast"/>
        </w:trPr>
        <w:tc>
          <w:tcPr>
            <w:tcW w:w="4645" w:type="dxa"/>
            <w:gridSpan w:val="4"/>
            <w:tcBorders>
              <w:top w:val="single" w:color="auto" w:sz="4" w:space="0"/>
              <w:left w:val="single" w:color="auto" w:sz="4" w:space="0"/>
              <w:bottom w:val="single" w:color="auto" w:sz="4" w:space="0"/>
              <w:right w:val="single" w:color="auto" w:sz="4" w:space="0"/>
            </w:tcBorders>
          </w:tcPr>
          <w:p>
            <w:pPr>
              <w:rPr>
                <w:rFonts w:ascii="宋体" w:hAnsi="宋体" w:eastAsia="宋体" w:cs="宋体"/>
                <w:b/>
                <w:bCs/>
                <w:color w:val="000000"/>
                <w:sz w:val="15"/>
                <w:szCs w:val="15"/>
              </w:rPr>
            </w:pPr>
            <w:r>
              <w:rPr>
                <w:rFonts w:hint="eastAsia" w:ascii="宋体" w:hAnsi="宋体" w:eastAsia="宋体" w:cs="宋体"/>
                <w:b/>
                <w:bCs/>
                <w:color w:val="000000"/>
                <w:sz w:val="15"/>
                <w:szCs w:val="15"/>
              </w:rPr>
              <w:t xml:space="preserve">评估意见： </w:t>
            </w:r>
            <w:r>
              <w:rPr>
                <w:rFonts w:ascii="宋体" w:hAnsi="宋体" w:eastAsia="宋体" w:cs="宋体"/>
                <w:b/>
                <w:bCs/>
                <w:color w:val="000000"/>
                <w:sz w:val="15"/>
                <w:szCs w:val="15"/>
              </w:rPr>
              <w:t xml:space="preserve">                                     </w:t>
            </w:r>
          </w:p>
        </w:tc>
        <w:tc>
          <w:tcPr>
            <w:tcW w:w="6838" w:type="dxa"/>
            <w:gridSpan w:val="6"/>
            <w:tcBorders>
              <w:top w:val="single" w:color="auto" w:sz="4" w:space="0"/>
              <w:left w:val="single" w:color="auto" w:sz="4" w:space="0"/>
              <w:bottom w:val="single" w:color="auto" w:sz="4" w:space="0"/>
              <w:right w:val="single" w:color="auto" w:sz="4" w:space="0"/>
            </w:tcBorders>
          </w:tcPr>
          <w:p>
            <w:pPr>
              <w:rPr>
                <w:rFonts w:ascii="宋体" w:hAnsi="宋体" w:eastAsia="宋体" w:cs="宋体"/>
                <w:b/>
                <w:bCs/>
                <w:color w:val="000000"/>
                <w:sz w:val="15"/>
                <w:szCs w:val="15"/>
              </w:rPr>
            </w:pPr>
            <w:r>
              <w:rPr>
                <w:rFonts w:hint="eastAsia" w:ascii="宋体" w:hAnsi="宋体" w:eastAsia="宋体" w:cs="宋体"/>
                <w:b/>
                <w:bCs/>
                <w:color w:val="000000"/>
                <w:sz w:val="15"/>
                <w:szCs w:val="15"/>
              </w:rPr>
              <w:t>经综合考虑，建议授予投资者</w:t>
            </w:r>
            <w:r>
              <w:rPr>
                <w:rFonts w:hint="eastAsia" w:ascii="宋体" w:hAnsi="宋体" w:eastAsia="宋体" w:cs="宋体"/>
                <w:b/>
                <w:bCs/>
                <w:color w:val="000000"/>
                <w:sz w:val="15"/>
                <w:szCs w:val="15"/>
                <w:u w:val="single"/>
              </w:rPr>
              <w:t xml:space="preserve">       </w:t>
            </w:r>
            <w:r>
              <w:rPr>
                <w:rFonts w:hint="eastAsia" w:ascii="宋体" w:hAnsi="宋体" w:eastAsia="宋体" w:cs="宋体"/>
                <w:b/>
                <w:bCs/>
                <w:color w:val="000000"/>
                <w:sz w:val="15"/>
                <w:szCs w:val="15"/>
              </w:rPr>
              <w:t>级股票期权交易权限</w:t>
            </w:r>
          </w:p>
        </w:tc>
      </w:tr>
      <w:tr>
        <w:tblPrEx>
          <w:tblCellMar>
            <w:top w:w="0" w:type="dxa"/>
            <w:left w:w="108" w:type="dxa"/>
            <w:bottom w:w="0" w:type="dxa"/>
            <w:right w:w="108" w:type="dxa"/>
          </w:tblCellMar>
        </w:tblPrEx>
        <w:trPr>
          <w:trHeight w:val="401" w:hRule="atLeast"/>
        </w:trPr>
        <w:tc>
          <w:tcPr>
            <w:tcW w:w="4645" w:type="dxa"/>
            <w:gridSpan w:val="4"/>
            <w:tcBorders>
              <w:top w:val="single" w:color="auto" w:sz="4" w:space="0"/>
              <w:left w:val="single" w:color="auto" w:sz="4" w:space="0"/>
              <w:bottom w:val="single" w:color="auto" w:sz="4" w:space="0"/>
              <w:right w:val="single" w:color="auto" w:sz="4" w:space="0"/>
            </w:tcBorders>
          </w:tcPr>
          <w:p>
            <w:pPr>
              <w:rPr>
                <w:rFonts w:ascii="宋体" w:hAnsi="宋体" w:eastAsia="宋体" w:cs="宋体"/>
                <w:b/>
                <w:bCs/>
                <w:color w:val="000000"/>
                <w:sz w:val="15"/>
                <w:szCs w:val="15"/>
              </w:rPr>
            </w:pPr>
            <w:r>
              <w:rPr>
                <w:rFonts w:hint="eastAsia" w:ascii="宋体" w:hAnsi="宋体" w:eastAsia="宋体" w:cs="宋体"/>
                <w:b/>
                <w:bCs/>
                <w:color w:val="000000"/>
                <w:sz w:val="15"/>
                <w:szCs w:val="15"/>
              </w:rPr>
              <w:t xml:space="preserve">总部期权经纪业务相关部门复核人（签字）： </w:t>
            </w:r>
            <w:r>
              <w:rPr>
                <w:rFonts w:ascii="宋体" w:hAnsi="宋体" w:eastAsia="宋体" w:cs="宋体"/>
                <w:b/>
                <w:bCs/>
                <w:color w:val="000000"/>
                <w:sz w:val="15"/>
                <w:szCs w:val="15"/>
              </w:rPr>
              <w:t xml:space="preserve">              </w:t>
            </w:r>
          </w:p>
        </w:tc>
        <w:tc>
          <w:tcPr>
            <w:tcW w:w="6838" w:type="dxa"/>
            <w:gridSpan w:val="6"/>
            <w:tcBorders>
              <w:top w:val="single" w:color="auto" w:sz="4" w:space="0"/>
              <w:left w:val="single" w:color="auto" w:sz="4" w:space="0"/>
              <w:bottom w:val="single" w:color="auto" w:sz="4" w:space="0"/>
              <w:right w:val="single" w:color="auto" w:sz="4" w:space="0"/>
            </w:tcBorders>
          </w:tcPr>
          <w:p>
            <w:pPr>
              <w:rPr>
                <w:rFonts w:ascii="宋体" w:hAnsi="宋体" w:eastAsia="宋体" w:cs="宋体"/>
                <w:b/>
                <w:bCs/>
                <w:color w:val="000000"/>
                <w:sz w:val="15"/>
                <w:szCs w:val="15"/>
              </w:rPr>
            </w:pPr>
            <w:r>
              <w:rPr>
                <w:rFonts w:hint="eastAsia" w:ascii="宋体" w:hAnsi="宋体" w:eastAsia="宋体" w:cs="宋体"/>
                <w:b/>
                <w:bCs/>
                <w:color w:val="000000"/>
                <w:sz w:val="15"/>
                <w:szCs w:val="15"/>
              </w:rPr>
              <w:t>日期：</w:t>
            </w:r>
          </w:p>
        </w:tc>
      </w:tr>
      <w:tr>
        <w:tblPrEx>
          <w:tblCellMar>
            <w:top w:w="0" w:type="dxa"/>
            <w:left w:w="108" w:type="dxa"/>
            <w:bottom w:w="0" w:type="dxa"/>
            <w:right w:w="108" w:type="dxa"/>
          </w:tblCellMar>
        </w:tblPrEx>
        <w:trPr>
          <w:trHeight w:val="285" w:hRule="atLeast"/>
        </w:trPr>
        <w:tc>
          <w:tcPr>
            <w:tcW w:w="11483" w:type="dxa"/>
            <w:gridSpan w:val="10"/>
            <w:tcBorders>
              <w:top w:val="single" w:color="auto" w:sz="4" w:space="0"/>
              <w:left w:val="single" w:color="auto" w:sz="4" w:space="0"/>
              <w:bottom w:val="single" w:color="auto" w:sz="4" w:space="0"/>
              <w:right w:val="single" w:color="auto" w:sz="4" w:space="0"/>
            </w:tcBorders>
          </w:tcPr>
          <w:p>
            <w:pPr>
              <w:rPr>
                <w:rFonts w:ascii="宋体" w:hAnsi="宋体" w:eastAsia="宋体" w:cs="宋体"/>
                <w:b/>
                <w:bCs/>
                <w:color w:val="000000"/>
                <w:sz w:val="15"/>
                <w:szCs w:val="15"/>
              </w:rPr>
            </w:pPr>
            <w:r>
              <w:rPr>
                <w:rFonts w:hint="eastAsia" w:ascii="宋体" w:hAnsi="宋体" w:eastAsia="宋体" w:cs="宋体"/>
                <w:b/>
                <w:bCs/>
                <w:color w:val="000000"/>
                <w:sz w:val="15"/>
                <w:szCs w:val="15"/>
              </w:rPr>
              <w:t>提示：评估意见不构成投资建议，亦不构成对投资者的获利保证。</w:t>
            </w:r>
          </w:p>
        </w:tc>
      </w:tr>
    </w:tbl>
    <w:p/>
    <w:sectPr>
      <w:headerReference r:id="rId3" w:type="default"/>
      <w:pgSz w:w="11906" w:h="16838"/>
      <w:pgMar w:top="284" w:right="1797" w:bottom="284" w:left="1797" w:header="113"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eastAsia="宋体"/>
        <w:sz w:val="15"/>
        <w:szCs w:val="15"/>
        <w:shd w:val="pct10" w:color="auto" w:fill="FFFFFF"/>
      </w:rPr>
    </w:pPr>
    <w:r>
      <w:rPr>
        <w:rFonts w:hint="eastAsia" w:ascii="宋体" w:hAnsi="宋体" w:eastAsia="宋体"/>
        <w:b/>
        <w:bCs/>
        <w:sz w:val="15"/>
        <w:szCs w:val="15"/>
      </w:rPr>
      <w:t>股票期权投资者适当性评估表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4B1"/>
    <w:rsid w:val="00013B0C"/>
    <w:rsid w:val="000220E2"/>
    <w:rsid w:val="00022FF3"/>
    <w:rsid w:val="00047638"/>
    <w:rsid w:val="00053C69"/>
    <w:rsid w:val="00061B7A"/>
    <w:rsid w:val="000911B6"/>
    <w:rsid w:val="000B0550"/>
    <w:rsid w:val="001134D2"/>
    <w:rsid w:val="0014106D"/>
    <w:rsid w:val="0015576F"/>
    <w:rsid w:val="0017135F"/>
    <w:rsid w:val="00196E30"/>
    <w:rsid w:val="001A7667"/>
    <w:rsid w:val="001D449D"/>
    <w:rsid w:val="00211262"/>
    <w:rsid w:val="00227E66"/>
    <w:rsid w:val="002345A1"/>
    <w:rsid w:val="00274D6B"/>
    <w:rsid w:val="00283933"/>
    <w:rsid w:val="002A67C0"/>
    <w:rsid w:val="002C4743"/>
    <w:rsid w:val="002C63E2"/>
    <w:rsid w:val="002E078F"/>
    <w:rsid w:val="00304F6D"/>
    <w:rsid w:val="00351E76"/>
    <w:rsid w:val="003A17CC"/>
    <w:rsid w:val="003C39F8"/>
    <w:rsid w:val="003E731C"/>
    <w:rsid w:val="0040209A"/>
    <w:rsid w:val="00405C77"/>
    <w:rsid w:val="00415AB6"/>
    <w:rsid w:val="00416638"/>
    <w:rsid w:val="0042313A"/>
    <w:rsid w:val="00475473"/>
    <w:rsid w:val="004E15AB"/>
    <w:rsid w:val="004F4772"/>
    <w:rsid w:val="004F6C8A"/>
    <w:rsid w:val="00515137"/>
    <w:rsid w:val="00552AF9"/>
    <w:rsid w:val="00560FC8"/>
    <w:rsid w:val="00571763"/>
    <w:rsid w:val="0057502F"/>
    <w:rsid w:val="00576D9A"/>
    <w:rsid w:val="005E286D"/>
    <w:rsid w:val="006118F9"/>
    <w:rsid w:val="00624EE0"/>
    <w:rsid w:val="0065133B"/>
    <w:rsid w:val="00653C56"/>
    <w:rsid w:val="00662773"/>
    <w:rsid w:val="0069491C"/>
    <w:rsid w:val="006A7647"/>
    <w:rsid w:val="006C646D"/>
    <w:rsid w:val="006E1A5C"/>
    <w:rsid w:val="006F2F0A"/>
    <w:rsid w:val="0070369F"/>
    <w:rsid w:val="00703738"/>
    <w:rsid w:val="007069A2"/>
    <w:rsid w:val="00716541"/>
    <w:rsid w:val="00716586"/>
    <w:rsid w:val="00720579"/>
    <w:rsid w:val="00731373"/>
    <w:rsid w:val="00736BCF"/>
    <w:rsid w:val="007A79F7"/>
    <w:rsid w:val="007C5AB2"/>
    <w:rsid w:val="007D0D80"/>
    <w:rsid w:val="007F4B06"/>
    <w:rsid w:val="007F7FB8"/>
    <w:rsid w:val="0089654F"/>
    <w:rsid w:val="008B0178"/>
    <w:rsid w:val="008B38DD"/>
    <w:rsid w:val="00913826"/>
    <w:rsid w:val="009174B1"/>
    <w:rsid w:val="00965470"/>
    <w:rsid w:val="009A0243"/>
    <w:rsid w:val="009A5DFD"/>
    <w:rsid w:val="00A55F6D"/>
    <w:rsid w:val="00A66F4A"/>
    <w:rsid w:val="00AB447A"/>
    <w:rsid w:val="00AB63E6"/>
    <w:rsid w:val="00AC1ED4"/>
    <w:rsid w:val="00AE63EF"/>
    <w:rsid w:val="00AF2580"/>
    <w:rsid w:val="00B223F8"/>
    <w:rsid w:val="00B23BF7"/>
    <w:rsid w:val="00B44EA9"/>
    <w:rsid w:val="00B50F1D"/>
    <w:rsid w:val="00B52C73"/>
    <w:rsid w:val="00B570CD"/>
    <w:rsid w:val="00B74513"/>
    <w:rsid w:val="00BD2564"/>
    <w:rsid w:val="00C03F44"/>
    <w:rsid w:val="00C21EB3"/>
    <w:rsid w:val="00C24843"/>
    <w:rsid w:val="00D04145"/>
    <w:rsid w:val="00D11317"/>
    <w:rsid w:val="00D14282"/>
    <w:rsid w:val="00D3545B"/>
    <w:rsid w:val="00D35E3E"/>
    <w:rsid w:val="00D57D84"/>
    <w:rsid w:val="00D77D54"/>
    <w:rsid w:val="00D81AE9"/>
    <w:rsid w:val="00E501E3"/>
    <w:rsid w:val="00E84506"/>
    <w:rsid w:val="00EA0B1B"/>
    <w:rsid w:val="00EC3249"/>
    <w:rsid w:val="00EF74D3"/>
    <w:rsid w:val="00F07130"/>
    <w:rsid w:val="00F26F7A"/>
    <w:rsid w:val="00F47601"/>
    <w:rsid w:val="00F53BFD"/>
    <w:rsid w:val="00F7127F"/>
    <w:rsid w:val="00F73ECC"/>
    <w:rsid w:val="00FA34AF"/>
    <w:rsid w:val="00FD2C87"/>
    <w:rsid w:val="00FE68A6"/>
    <w:rsid w:val="04807D22"/>
    <w:rsid w:val="04F36984"/>
    <w:rsid w:val="2E3524EF"/>
    <w:rsid w:val="37FC1596"/>
    <w:rsid w:val="423C2FFB"/>
    <w:rsid w:val="43402785"/>
    <w:rsid w:val="50C95B4E"/>
    <w:rsid w:val="514B0D04"/>
    <w:rsid w:val="67A813BF"/>
    <w:rsid w:val="6A6B4289"/>
    <w:rsid w:val="6C9A3DAB"/>
    <w:rsid w:val="7EAB1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等线" w:cs="Arial"/>
      <w:kern w:val="0"/>
      <w:sz w:val="20"/>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uiPriority w:val="99"/>
    <w:pPr>
      <w:tabs>
        <w:tab w:val="center" w:pos="4153"/>
        <w:tab w:val="right" w:pos="8306"/>
      </w:tabs>
      <w:snapToGrid w:val="0"/>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7">
    <w:name w:val="Defaul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styleId="8">
    <w:name w:val="List Paragraph"/>
    <w:basedOn w:val="1"/>
    <w:qFormat/>
    <w:uiPriority w:val="34"/>
    <w:pPr>
      <w:ind w:firstLine="420" w:firstLineChars="200"/>
    </w:pPr>
  </w:style>
  <w:style w:type="character" w:customStyle="1" w:styleId="9">
    <w:name w:val="页眉 字符"/>
    <w:basedOn w:val="6"/>
    <w:link w:val="4"/>
    <w:uiPriority w:val="99"/>
    <w:rPr>
      <w:rFonts w:ascii="Calibri" w:hAnsi="Calibri" w:eastAsia="等线" w:cs="Arial"/>
      <w:kern w:val="0"/>
      <w:sz w:val="18"/>
      <w:szCs w:val="18"/>
    </w:rPr>
  </w:style>
  <w:style w:type="character" w:customStyle="1" w:styleId="10">
    <w:name w:val="页脚 字符"/>
    <w:basedOn w:val="6"/>
    <w:link w:val="3"/>
    <w:uiPriority w:val="99"/>
    <w:rPr>
      <w:rFonts w:ascii="Calibri" w:hAnsi="Calibri" w:eastAsia="等线" w:cs="Arial"/>
      <w:kern w:val="0"/>
      <w:sz w:val="18"/>
      <w:szCs w:val="18"/>
    </w:rPr>
  </w:style>
  <w:style w:type="character" w:customStyle="1" w:styleId="11">
    <w:name w:val="批注框文本 字符"/>
    <w:basedOn w:val="6"/>
    <w:link w:val="2"/>
    <w:semiHidden/>
    <w:uiPriority w:val="99"/>
    <w:rPr>
      <w:rFonts w:ascii="Calibri" w:hAnsi="Calibri" w:eastAsia="等线" w:cs="Arial"/>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3E5EB7-F7F5-4AEF-8678-7CB0129738AD}">
  <ds:schemaRefs/>
</ds:datastoreItem>
</file>

<file path=docProps/app.xml><?xml version="1.0" encoding="utf-8"?>
<Properties xmlns="http://schemas.openxmlformats.org/officeDocument/2006/extended-properties" xmlns:vt="http://schemas.openxmlformats.org/officeDocument/2006/docPropsVTypes">
  <Template>Normal.dotm</Template>
  <Pages>2</Pages>
  <Words>332</Words>
  <Characters>1898</Characters>
  <Lines>15</Lines>
  <Paragraphs>4</Paragraphs>
  <TotalTime>0</TotalTime>
  <ScaleCrop>false</ScaleCrop>
  <LinksUpToDate>false</LinksUpToDate>
  <CharactersWithSpaces>2226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2019-11-18T11:53:00Z</dcterms:created>
  <dc:creator>郝涵</dc:creator>
  <cp:lastModifiedBy>J Yang</cp:lastModifiedBy>
  <cp:lastPrinted>2019-11-18T14:05:00Z</cp:lastPrinted>
  <dcterms:modified xsi:type="dcterms:W3CDTF">2021-03-29T02:52:04Z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3635A40F6059468C86C80730713403D6</vt:lpwstr>
  </property>
</Properties>
</file>