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20" w:beforeLines="50" w:after="120" w:afterLines="50"/>
        <w:jc w:val="center"/>
        <w:rPr>
          <w:rFonts w:ascii="仿宋" w:hAnsi="仿宋" w:eastAsia="仿宋" w:cs="仿宋"/>
          <w:b/>
          <w:color w:val="000000"/>
          <w:kern w:val="0"/>
        </w:rPr>
      </w:pPr>
      <w:r>
        <w:rPr>
          <w:rFonts w:hint="eastAsia" w:ascii="仿宋" w:hAnsi="仿宋" w:eastAsia="仿宋" w:cs="仿宋"/>
          <w:b/>
          <w:color w:val="FF0000"/>
          <w:sz w:val="44"/>
        </w:rPr>
        <w:t>交易编码申请表（特殊单位）</w:t>
      </w:r>
    </w:p>
    <w:tbl>
      <w:tblPr>
        <w:tblStyle w:val="9"/>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848"/>
        <w:gridCol w:w="335"/>
        <w:gridCol w:w="710"/>
        <w:gridCol w:w="1245"/>
        <w:gridCol w:w="65"/>
        <w:gridCol w:w="890"/>
        <w:gridCol w:w="572"/>
        <w:gridCol w:w="812"/>
        <w:gridCol w:w="640"/>
        <w:gridCol w:w="22"/>
        <w:gridCol w:w="27"/>
        <w:gridCol w:w="497"/>
        <w:gridCol w:w="820"/>
        <w:gridCol w:w="15"/>
        <w:gridCol w:w="720"/>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期货公司名称</w:t>
            </w: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银河期货有限公司</w:t>
            </w:r>
          </w:p>
        </w:tc>
        <w:tc>
          <w:tcPr>
            <w:tcW w:w="3001"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期货公司会员性质</w:t>
            </w:r>
          </w:p>
        </w:tc>
        <w:tc>
          <w:tcPr>
            <w:tcW w:w="277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全面结算会员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0259" w:type="dxa"/>
            <w:gridSpan w:val="17"/>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郑州商品交易所</w:t>
            </w: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c>
          <w:tcPr>
            <w:tcW w:w="3001"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大连商品交易所</w:t>
            </w:r>
          </w:p>
        </w:tc>
        <w:tc>
          <w:tcPr>
            <w:tcW w:w="277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广州期货交易所</w:t>
            </w: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0005</w:t>
            </w:r>
          </w:p>
        </w:tc>
        <w:tc>
          <w:tcPr>
            <w:tcW w:w="3001"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上海期货交易所</w:t>
            </w:r>
          </w:p>
        </w:tc>
        <w:tc>
          <w:tcPr>
            <w:tcW w:w="277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中国金融期货交易所</w:t>
            </w: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0109</w:t>
            </w:r>
          </w:p>
        </w:tc>
        <w:tc>
          <w:tcPr>
            <w:tcW w:w="3001"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上海国际能源中心</w:t>
            </w:r>
          </w:p>
        </w:tc>
        <w:tc>
          <w:tcPr>
            <w:tcW w:w="277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92" w:type="dxa"/>
            <w:gridSpan w:val="2"/>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申请交易编码</w:t>
            </w:r>
          </w:p>
          <w:p>
            <w:pPr>
              <w:widowControl/>
              <w:jc w:val="center"/>
              <w:rPr>
                <w:rFonts w:ascii="仿宋" w:hAnsi="仿宋" w:eastAsia="仿宋" w:cs="仿宋"/>
                <w:color w:val="000000"/>
                <w:kern w:val="0"/>
              </w:rPr>
            </w:pP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□上期所</w:t>
            </w:r>
          </w:p>
        </w:tc>
        <w:tc>
          <w:tcPr>
            <w:tcW w:w="2997"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□郑商所</w:t>
            </w:r>
          </w:p>
        </w:tc>
        <w:tc>
          <w:tcPr>
            <w:tcW w:w="2779"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大商所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92" w:type="dxa"/>
            <w:gridSpan w:val="2"/>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中金所□交易□套保□套利</w:t>
            </w:r>
          </w:p>
        </w:tc>
        <w:tc>
          <w:tcPr>
            <w:tcW w:w="2997"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□能源中心</w:t>
            </w:r>
          </w:p>
        </w:tc>
        <w:tc>
          <w:tcPr>
            <w:tcW w:w="2779"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□广期所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1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color w:val="000000"/>
                <w:kern w:val="0"/>
              </w:rPr>
            </w:pPr>
            <w:r>
              <w:rPr>
                <w:rFonts w:hint="eastAsia" w:ascii="仿宋" w:hAnsi="仿宋" w:eastAsia="仿宋" w:cs="仿宋"/>
                <w:b/>
                <w:bCs/>
                <w:color w:val="000000"/>
                <w:kern w:val="0"/>
              </w:rPr>
              <w:t>交易所附加信息（若未申请中金所编码则无需填写）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color w:val="000000"/>
                <w:kern w:val="0"/>
              </w:rPr>
            </w:pPr>
            <w:r>
              <w:rPr>
                <w:rFonts w:hint="eastAsia" w:ascii="仿宋" w:hAnsi="仿宋" w:eastAsia="仿宋" w:cs="仿宋"/>
                <w:color w:val="000000"/>
                <w:kern w:val="0"/>
              </w:rPr>
              <w:t>开户营业部</w:t>
            </w:r>
          </w:p>
        </w:tc>
        <w:tc>
          <w:tcPr>
            <w:tcW w:w="3818"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c>
          <w:tcPr>
            <w:tcW w:w="145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营业部代码</w:t>
            </w:r>
          </w:p>
        </w:tc>
        <w:tc>
          <w:tcPr>
            <w:tcW w:w="2797"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17"/>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b/>
                <w:color w:val="000000"/>
                <w:kern w:val="0"/>
              </w:rPr>
              <w:t>特殊单位客户信息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资金账号</w:t>
            </w:r>
          </w:p>
        </w:tc>
        <w:tc>
          <w:tcPr>
            <w:tcW w:w="22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c>
          <w:tcPr>
            <w:tcW w:w="2997"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客户简称</w:t>
            </w:r>
          </w:p>
        </w:tc>
        <w:tc>
          <w:tcPr>
            <w:tcW w:w="2779"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特殊单位客户名称</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rPr>
            </w:pPr>
            <w:r>
              <w:rPr>
                <w:rFonts w:hint="eastAsia" w:ascii="仿宋" w:hAnsi="仿宋" w:eastAsia="仿宋" w:cs="仿宋"/>
                <w:kern w:val="0"/>
              </w:rPr>
              <w:t>特殊单位客户</w:t>
            </w:r>
          </w:p>
          <w:p>
            <w:pPr>
              <w:widowControl/>
              <w:jc w:val="center"/>
              <w:rPr>
                <w:rFonts w:ascii="仿宋" w:hAnsi="仿宋" w:eastAsia="仿宋" w:cs="仿宋"/>
                <w:color w:val="000000"/>
                <w:kern w:val="0"/>
              </w:rPr>
            </w:pPr>
            <w:r>
              <w:rPr>
                <w:rFonts w:hint="eastAsia" w:ascii="仿宋" w:hAnsi="仿宋" w:eastAsia="仿宋" w:cs="仿宋"/>
                <w:kern w:val="0"/>
              </w:rPr>
              <w:t>英文全称</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统一社会信用代码</w:t>
            </w:r>
          </w:p>
        </w:tc>
        <w:tc>
          <w:tcPr>
            <w:tcW w:w="3818"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p>
        </w:tc>
        <w:tc>
          <w:tcPr>
            <w:tcW w:w="1998"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附加码</w:t>
            </w:r>
          </w:p>
        </w:tc>
        <w:tc>
          <w:tcPr>
            <w:tcW w:w="2251" w:type="dxa"/>
            <w:gridSpan w:val="4"/>
            <w:tcBorders>
              <w:left w:val="single" w:color="auto" w:sz="4" w:space="0"/>
              <w:right w:val="single" w:color="auto" w:sz="4" w:space="0"/>
            </w:tcBorders>
            <w:vAlign w:val="center"/>
          </w:tcPr>
          <w:p>
            <w:pPr>
              <w:widowControl/>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许可证编号</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AFABAB" w:themeColor="background2" w:themeShade="BF"/>
                <w:kern w:val="0"/>
              </w:rPr>
              <w:t>仅限合格境外投资者填写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spacing w:line="400" w:lineRule="exact"/>
              <w:jc w:val="center"/>
              <w:rPr>
                <w:rFonts w:ascii="仿宋" w:hAnsi="仿宋" w:eastAsia="仿宋" w:cs="仿宋"/>
                <w:color w:val="000000"/>
                <w:kern w:val="0"/>
              </w:rPr>
            </w:pPr>
            <w:r>
              <w:rPr>
                <w:rFonts w:hint="eastAsia" w:ascii="仿宋" w:hAnsi="仿宋" w:eastAsia="仿宋" w:cs="仿宋"/>
                <w:color w:val="000000"/>
                <w:kern w:val="0"/>
              </w:rPr>
              <w:t>特殊单位客户及其分户管理资产类型（投资者类型）</w:t>
            </w:r>
          </w:p>
        </w:tc>
        <w:tc>
          <w:tcPr>
            <w:tcW w:w="8067" w:type="dxa"/>
            <w:gridSpan w:val="15"/>
            <w:tcBorders>
              <w:left w:val="single" w:color="auto" w:sz="4" w:space="0"/>
              <w:right w:val="single" w:color="auto" w:sz="4" w:space="0"/>
            </w:tcBorders>
            <w:vAlign w:val="center"/>
          </w:tcPr>
          <w:p>
            <w:pPr>
              <w:spacing w:line="320" w:lineRule="exact"/>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证券公司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自营 □ 集合资产管理计划 □ 单一资产管理计划</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证券投资基金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封闭式基金 □ 开放式基金（不包括ETF） □ 保本基金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ETF        □ 债券基金（短期理财债券基金除外）</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场内对冲业务</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场外期权  □ 收益互换  □ 收益凭证</w:t>
            </w:r>
          </w:p>
          <w:p>
            <w:pPr>
              <w:spacing w:line="320" w:lineRule="exact"/>
              <w:rPr>
                <w:rFonts w:ascii="仿宋" w:hAnsi="仿宋" w:eastAsia="仿宋" w:cs="仿宋"/>
                <w:color w:val="000000"/>
                <w:kern w:val="0"/>
              </w:rPr>
            </w:pPr>
            <w:r>
              <w:rPr>
                <w:rFonts w:hint="eastAsia" w:ascii="仿宋" w:hAnsi="仿宋" w:eastAsia="仿宋" w:cs="仿宋"/>
                <w:color w:val="000000"/>
                <w:kern w:val="0"/>
              </w:rPr>
              <w:t>□ 基金公司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证券投资基金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封闭式基金 □ 开放式基金（不包括ETF） □ 保本基金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ETF        □ 债券基金（短期理财债券基金除外）</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私募资产管理计划</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□单一资产管理计划 □集合资产管理计划</w:t>
            </w:r>
          </w:p>
          <w:p>
            <w:pPr>
              <w:spacing w:line="320" w:lineRule="exact"/>
              <w:rPr>
                <w:rFonts w:ascii="仿宋" w:hAnsi="仿宋" w:eastAsia="仿宋" w:cs="仿宋"/>
                <w:color w:val="000000"/>
                <w:kern w:val="0"/>
              </w:rPr>
            </w:pPr>
            <w:r>
              <w:rPr>
                <w:rFonts w:hint="eastAsia" w:ascii="仿宋" w:hAnsi="仿宋" w:eastAsia="仿宋" w:cs="仿宋"/>
                <w:color w:val="000000"/>
                <w:kern w:val="0"/>
              </w:rPr>
              <w:t>□ 信托公司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信托公司单一信托产品 □ 信托公司集合信托产品</w:t>
            </w:r>
          </w:p>
          <w:p>
            <w:pPr>
              <w:spacing w:line="320" w:lineRule="exact"/>
              <w:rPr>
                <w:rFonts w:ascii="仿宋" w:hAnsi="仿宋" w:eastAsia="仿宋" w:cs="仿宋"/>
                <w:color w:val="000000"/>
                <w:kern w:val="0"/>
              </w:rPr>
            </w:pPr>
            <w:r>
              <w:rPr>
                <w:rFonts w:hint="eastAsia" w:ascii="仿宋" w:hAnsi="仿宋" w:eastAsia="仿宋" w:cs="仿宋"/>
                <w:color w:val="000000"/>
                <w:kern w:val="0"/>
              </w:rPr>
              <w:t>□ 保险公司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保险资产组合</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证券投资基金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封闭式基金 □ 开放式基金（不包括ETF） □ 保本基金</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ETF        □ 债券基金（短期理财债券基金除外）</w:t>
            </w:r>
          </w:p>
          <w:p>
            <w:pPr>
              <w:spacing w:line="320" w:lineRule="exact"/>
              <w:rPr>
                <w:rFonts w:ascii="仿宋" w:hAnsi="仿宋" w:eastAsia="仿宋" w:cs="仿宋"/>
                <w:color w:val="000000"/>
                <w:kern w:val="0"/>
              </w:rPr>
            </w:pPr>
            <w:r>
              <w:rPr>
                <w:rFonts w:hint="eastAsia" w:ascii="仿宋" w:hAnsi="仿宋" w:eastAsia="仿宋" w:cs="仿宋"/>
                <w:color w:val="000000"/>
                <w:kern w:val="0"/>
              </w:rPr>
              <w:t>□ 合格境外机构投资者</w:t>
            </w:r>
          </w:p>
          <w:p>
            <w:pPr>
              <w:spacing w:line="320" w:lineRule="exact"/>
              <w:rPr>
                <w:rFonts w:ascii="仿宋" w:hAnsi="仿宋" w:eastAsia="仿宋" w:cs="仿宋"/>
                <w:color w:val="000000"/>
                <w:kern w:val="0"/>
              </w:rPr>
            </w:pPr>
            <w:r>
              <w:rPr>
                <w:rFonts w:hint="eastAsia" w:ascii="仿宋" w:hAnsi="仿宋" w:eastAsia="仿宋" w:cs="仿宋"/>
                <w:color w:val="000000"/>
                <w:kern w:val="0"/>
              </w:rPr>
              <w:t>□ 人民币合格境外机构投资者</w:t>
            </w:r>
          </w:p>
          <w:p>
            <w:pPr>
              <w:spacing w:line="320" w:lineRule="exact"/>
              <w:rPr>
                <w:rFonts w:ascii="仿宋" w:hAnsi="仿宋" w:eastAsia="仿宋" w:cs="仿宋"/>
                <w:color w:val="000000"/>
                <w:kern w:val="0"/>
              </w:rPr>
            </w:pPr>
            <w:r>
              <w:rPr>
                <w:rFonts w:hint="eastAsia" w:ascii="仿宋" w:hAnsi="仿宋" w:eastAsia="仿宋" w:cs="仿宋"/>
                <w:color w:val="000000"/>
                <w:kern w:val="0"/>
              </w:rPr>
              <w:t>□ 私募基金管理机构</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私募证券投资基金 □ 私募股权投资基金</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私募创业投资基金 □ 私募商品基金    □ 其他</w:t>
            </w:r>
          </w:p>
          <w:p>
            <w:pPr>
              <w:spacing w:line="320" w:lineRule="exact"/>
              <w:rPr>
                <w:rFonts w:ascii="仿宋" w:hAnsi="仿宋" w:eastAsia="仿宋" w:cs="仿宋"/>
                <w:color w:val="000000"/>
                <w:kern w:val="0"/>
              </w:rPr>
            </w:pPr>
            <w:r>
              <w:rPr>
                <w:rFonts w:hint="eastAsia" w:ascii="仿宋" w:hAnsi="仿宋" w:eastAsia="仿宋" w:cs="仿宋"/>
                <w:color w:val="000000"/>
                <w:kern w:val="0"/>
              </w:rPr>
              <w:t>□ 期货公司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私募资产管理计划</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单一资产管理计划 □ 集合资产管理计划</w:t>
            </w:r>
          </w:p>
          <w:p>
            <w:pPr>
              <w:spacing w:line="320" w:lineRule="exact"/>
              <w:rPr>
                <w:rFonts w:ascii="仿宋" w:hAnsi="仿宋" w:eastAsia="仿宋" w:cs="仿宋"/>
                <w:color w:val="000000"/>
                <w:kern w:val="0"/>
              </w:rPr>
            </w:pPr>
            <w:r>
              <w:rPr>
                <w:rFonts w:hint="eastAsia" w:ascii="仿宋" w:hAnsi="仿宋" w:eastAsia="仿宋" w:cs="仿宋"/>
                <w:color w:val="000000"/>
                <w:kern w:val="0"/>
              </w:rPr>
              <w:t>□ 期货公司资产管理子公司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私募资产管理计划</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单一资产管理计划 □ 集合资产管理计划</w:t>
            </w:r>
          </w:p>
          <w:p>
            <w:pPr>
              <w:spacing w:line="320" w:lineRule="exact"/>
              <w:rPr>
                <w:rFonts w:ascii="仿宋" w:hAnsi="仿宋" w:eastAsia="仿宋" w:cs="仿宋"/>
                <w:color w:val="000000"/>
                <w:kern w:val="0"/>
              </w:rPr>
            </w:pPr>
            <w:r>
              <w:rPr>
                <w:rFonts w:hint="eastAsia" w:ascii="仿宋" w:hAnsi="仿宋" w:eastAsia="仿宋" w:cs="仿宋"/>
                <w:color w:val="000000"/>
                <w:kern w:val="0"/>
              </w:rPr>
              <w:t>□ 期货公司风险管理子公司</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合作套保</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场外衍生品业务</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“保险+期货”类业务</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与商业银行开展的场外衍生品业务</w:t>
            </w:r>
          </w:p>
          <w:p>
            <w:pPr>
              <w:spacing w:line="320" w:lineRule="exact"/>
              <w:ind w:firstLine="840" w:firstLineChars="400"/>
              <w:rPr>
                <w:rFonts w:ascii="仿宋" w:hAnsi="仿宋" w:eastAsia="仿宋" w:cs="仿宋"/>
                <w:color w:val="000000"/>
                <w:kern w:val="0"/>
              </w:rPr>
            </w:pPr>
            <w:r>
              <w:rPr>
                <w:rFonts w:hint="eastAsia" w:ascii="仿宋" w:hAnsi="仿宋" w:eastAsia="仿宋" w:cs="仿宋"/>
                <w:color w:val="000000"/>
                <w:kern w:val="0"/>
              </w:rPr>
              <w:t>□ 场内对冲业务</w:t>
            </w:r>
          </w:p>
          <w:p>
            <w:pPr>
              <w:spacing w:line="320" w:lineRule="exact"/>
              <w:rPr>
                <w:rFonts w:ascii="仿宋" w:hAnsi="仿宋" w:eastAsia="仿宋" w:cs="仿宋"/>
                <w:color w:val="000000"/>
                <w:kern w:val="0"/>
              </w:rPr>
            </w:pPr>
            <w:r>
              <w:rPr>
                <w:rFonts w:hint="eastAsia" w:ascii="仿宋" w:hAnsi="仿宋" w:eastAsia="仿宋" w:cs="仿宋"/>
                <w:color w:val="000000"/>
                <w:kern w:val="0"/>
              </w:rPr>
              <w:t>□ 做市机构</w:t>
            </w:r>
          </w:p>
          <w:p>
            <w:pPr>
              <w:spacing w:line="320" w:lineRule="exact"/>
              <w:rPr>
                <w:rFonts w:ascii="仿宋" w:hAnsi="仿宋" w:eastAsia="仿宋" w:cs="仿宋"/>
                <w:color w:val="000000"/>
                <w:kern w:val="0"/>
              </w:rPr>
            </w:pPr>
            <w:r>
              <w:rPr>
                <w:rFonts w:hint="eastAsia" w:ascii="仿宋" w:hAnsi="仿宋" w:eastAsia="仿宋" w:cs="仿宋"/>
                <w:color w:val="000000"/>
                <w:kern w:val="0"/>
              </w:rPr>
              <w:t>□ 基本养老保险基金</w:t>
            </w:r>
          </w:p>
          <w:p>
            <w:pPr>
              <w:spacing w:line="320" w:lineRule="exact"/>
              <w:rPr>
                <w:rFonts w:ascii="仿宋" w:hAnsi="仿宋" w:eastAsia="仿宋" w:cs="仿宋"/>
                <w:color w:val="000000"/>
                <w:kern w:val="0"/>
              </w:rPr>
            </w:pPr>
            <w:r>
              <w:rPr>
                <w:rFonts w:hint="eastAsia" w:ascii="仿宋" w:hAnsi="仿宋" w:eastAsia="仿宋" w:cs="仿宋"/>
                <w:color w:val="000000"/>
                <w:kern w:val="0"/>
              </w:rPr>
              <w:t>□ 企业年金、职业年金基金</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养老金产品</w:t>
            </w:r>
          </w:p>
          <w:p>
            <w:pPr>
              <w:spacing w:line="32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证券投资组合</w:t>
            </w:r>
          </w:p>
          <w:p>
            <w:pPr>
              <w:spacing w:line="320" w:lineRule="exact"/>
              <w:rPr>
                <w:rFonts w:ascii="仿宋" w:hAnsi="仿宋" w:eastAsia="仿宋" w:cs="仿宋"/>
                <w:color w:val="000000"/>
                <w:kern w:val="0"/>
              </w:rPr>
            </w:pPr>
            <w:r>
              <w:rPr>
                <w:rFonts w:hint="eastAsia" w:ascii="仿宋" w:hAnsi="仿宋" w:eastAsia="仿宋" w:cs="仿宋"/>
                <w:color w:val="000000"/>
                <w:kern w:val="0"/>
              </w:rPr>
              <w:t>□ 银行</w:t>
            </w:r>
          </w:p>
          <w:p>
            <w:pPr>
              <w:widowControl/>
              <w:spacing w:line="400" w:lineRule="exact"/>
              <w:ind w:firstLine="420" w:firstLineChars="200"/>
              <w:rPr>
                <w:rFonts w:ascii="仿宋" w:hAnsi="仿宋" w:eastAsia="仿宋" w:cs="仿宋"/>
                <w:color w:val="000000"/>
                <w:kern w:val="0"/>
              </w:rPr>
            </w:pPr>
            <w:r>
              <w:rPr>
                <w:rFonts w:hint="eastAsia" w:ascii="仿宋" w:hAnsi="仿宋" w:eastAsia="仿宋" w:cs="仿宋"/>
                <w:color w:val="000000"/>
                <w:kern w:val="0"/>
              </w:rPr>
              <w:t>□ 商业银行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分户管理资产名称</w:t>
            </w:r>
          </w:p>
        </w:tc>
        <w:tc>
          <w:tcPr>
            <w:tcW w:w="8067" w:type="dxa"/>
            <w:gridSpan w:val="15"/>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分户管理资产注册地址</w:t>
            </w:r>
          </w:p>
        </w:tc>
        <w:tc>
          <w:tcPr>
            <w:tcW w:w="8067" w:type="dxa"/>
            <w:gridSpan w:val="15"/>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r>
              <w:rPr>
                <w:rFonts w:hint="eastAsia" w:ascii="仿宋" w:hAnsi="仿宋" w:eastAsia="仿宋" w:cs="仿宋"/>
                <w:color w:val="AFABAB" w:themeColor="background2" w:themeShade="BF"/>
                <w:kern w:val="0"/>
              </w:rPr>
              <w:t>仅限合格境外投资者为具体基金申请交易编码时填写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MOM产品资产单元</w:t>
            </w:r>
          </w:p>
        </w:tc>
        <w:tc>
          <w:tcPr>
            <w:tcW w:w="8067" w:type="dxa"/>
            <w:gridSpan w:val="15"/>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r>
              <w:rPr>
                <w:rFonts w:hint="eastAsia" w:ascii="仿宋" w:hAnsi="仿宋" w:eastAsia="仿宋" w:cs="仿宋"/>
                <w:color w:val="000000"/>
                <w:kern w:val="0"/>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账户规模</w:t>
            </w:r>
          </w:p>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（单位万元）</w:t>
            </w:r>
          </w:p>
        </w:tc>
        <w:tc>
          <w:tcPr>
            <w:tcW w:w="8067" w:type="dxa"/>
            <w:gridSpan w:val="15"/>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交易编码对应名称</w:t>
            </w:r>
          </w:p>
        </w:tc>
        <w:tc>
          <w:tcPr>
            <w:tcW w:w="8067" w:type="dxa"/>
            <w:gridSpan w:val="15"/>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托管银行</w:t>
            </w:r>
          </w:p>
        </w:tc>
        <w:tc>
          <w:tcPr>
            <w:tcW w:w="2356" w:type="dxa"/>
            <w:gridSpan w:val="4"/>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p>
        </w:tc>
        <w:tc>
          <w:tcPr>
            <w:tcW w:w="2914" w:type="dxa"/>
            <w:gridSpan w:val="4"/>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r>
              <w:rPr>
                <w:rFonts w:hint="eastAsia" w:ascii="仿宋" w:hAnsi="仿宋" w:eastAsia="仿宋" w:cs="仿宋"/>
                <w:color w:val="000000"/>
                <w:kern w:val="0"/>
              </w:rPr>
              <w:t>托管银行账号</w:t>
            </w:r>
          </w:p>
        </w:tc>
        <w:tc>
          <w:tcPr>
            <w:tcW w:w="2797" w:type="dxa"/>
            <w:gridSpan w:val="7"/>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462" w:type="dxa"/>
            <w:gridSpan w:val="10"/>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r>
              <w:rPr>
                <w:rFonts w:hint="eastAsia" w:ascii="仿宋" w:hAnsi="仿宋" w:eastAsia="仿宋" w:cs="仿宋"/>
                <w:color w:val="000000"/>
                <w:kern w:val="0"/>
              </w:rPr>
              <w:t>期货公司及其资产管理子公司私募资产管理计划类型</w:t>
            </w:r>
          </w:p>
        </w:tc>
        <w:tc>
          <w:tcPr>
            <w:tcW w:w="2797" w:type="dxa"/>
            <w:gridSpan w:val="7"/>
            <w:tcBorders>
              <w:left w:val="single" w:color="auto" w:sz="4" w:space="0"/>
              <w:right w:val="single" w:color="auto" w:sz="4" w:space="0"/>
            </w:tcBorders>
            <w:vAlign w:val="center"/>
          </w:tcPr>
          <w:p>
            <w:pPr>
              <w:spacing w:line="320" w:lineRule="exact"/>
              <w:jc w:val="center"/>
              <w:rPr>
                <w:rFonts w:ascii="仿宋" w:hAnsi="仿宋" w:eastAsia="仿宋" w:cs="仿宋"/>
                <w:color w:val="000000"/>
                <w:kern w:val="0"/>
              </w:rPr>
            </w:pPr>
            <w:r>
              <w:rPr>
                <w:rFonts w:hint="eastAsia" w:ascii="仿宋" w:hAnsi="仿宋" w:eastAsia="仿宋" w:cs="仿宋"/>
                <w:color w:val="000000"/>
                <w:kern w:val="0"/>
              </w:rPr>
              <w:t>□期货类 □综合类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分户管理资产对应的现货账户</w:t>
            </w:r>
          </w:p>
        </w:tc>
        <w:tc>
          <w:tcPr>
            <w:tcW w:w="5711" w:type="dxa"/>
            <w:gridSpan w:val="11"/>
            <w:tcBorders>
              <w:left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投资品种</w:t>
            </w:r>
          </w:p>
        </w:tc>
        <w:tc>
          <w:tcPr>
            <w:tcW w:w="235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投资比例</w:t>
            </w:r>
          </w:p>
        </w:tc>
        <w:tc>
          <w:tcPr>
            <w:tcW w:w="1452" w:type="dxa"/>
            <w:gridSpan w:val="2"/>
            <w:tcBorders>
              <w:left w:val="single" w:color="auto" w:sz="4" w:space="0"/>
              <w:right w:val="single" w:color="auto" w:sz="4" w:space="0"/>
            </w:tcBorders>
            <w:vAlign w:val="center"/>
          </w:tcPr>
          <w:p>
            <w:pPr>
              <w:widowControl/>
              <w:spacing w:line="400" w:lineRule="exact"/>
              <w:jc w:val="center"/>
            </w:pPr>
          </w:p>
        </w:tc>
        <w:tc>
          <w:tcPr>
            <w:tcW w:w="1366" w:type="dxa"/>
            <w:gridSpan w:val="4"/>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存续期</w:t>
            </w:r>
          </w:p>
        </w:tc>
        <w:tc>
          <w:tcPr>
            <w:tcW w:w="1431" w:type="dxa"/>
            <w:gridSpan w:val="3"/>
            <w:tcBorders>
              <w:left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restart"/>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分户管理资产负责人及联系方式</w:t>
            </w: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姓名</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联系电话</w:t>
            </w:r>
          </w:p>
        </w:tc>
        <w:tc>
          <w:tcPr>
            <w:tcW w:w="1431"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证件类型</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证件号码</w:t>
            </w:r>
          </w:p>
        </w:tc>
        <w:tc>
          <w:tcPr>
            <w:tcW w:w="1431"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restart"/>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基金经理及联系方式</w:t>
            </w: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姓名</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联系电话</w:t>
            </w:r>
          </w:p>
        </w:tc>
        <w:tc>
          <w:tcPr>
            <w:tcW w:w="1431"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证件类型</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证件号码</w:t>
            </w:r>
          </w:p>
        </w:tc>
        <w:tc>
          <w:tcPr>
            <w:tcW w:w="1431" w:type="dxa"/>
            <w:gridSpan w:val="3"/>
            <w:tcBorders>
              <w:left w:val="single" w:color="auto" w:sz="4" w:space="0"/>
              <w:right w:val="single" w:color="auto" w:sz="4" w:space="0"/>
            </w:tcBorders>
            <w:vAlign w:val="center"/>
          </w:tcPr>
          <w:p>
            <w:pPr>
              <w:widowControl/>
              <w:spacing w:line="40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联系地址</w:t>
            </w:r>
          </w:p>
        </w:tc>
        <w:tc>
          <w:tcPr>
            <w:tcW w:w="4249" w:type="dxa"/>
            <w:gridSpan w:val="9"/>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restart"/>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投资顾问及联系方式</w:t>
            </w: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姓名或名称</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联系电话</w:t>
            </w:r>
          </w:p>
        </w:tc>
        <w:tc>
          <w:tcPr>
            <w:tcW w:w="1431"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证件类型</w:t>
            </w:r>
          </w:p>
        </w:tc>
        <w:tc>
          <w:tcPr>
            <w:tcW w:w="145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6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证件号码</w:t>
            </w:r>
          </w:p>
        </w:tc>
        <w:tc>
          <w:tcPr>
            <w:tcW w:w="1431"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46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联系地址</w:t>
            </w:r>
          </w:p>
        </w:tc>
        <w:tc>
          <w:tcPr>
            <w:tcW w:w="4249" w:type="dxa"/>
            <w:gridSpan w:val="9"/>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259" w:type="dxa"/>
            <w:gridSpan w:val="17"/>
            <w:tcBorders>
              <w:left w:val="single" w:color="auto" w:sz="4" w:space="0"/>
              <w:right w:val="single" w:color="auto" w:sz="4" w:space="0"/>
            </w:tcBorders>
            <w:vAlign w:val="center"/>
          </w:tcPr>
          <w:p>
            <w:pPr>
              <w:widowControl/>
              <w:spacing w:line="400" w:lineRule="exact"/>
              <w:jc w:val="center"/>
              <w:rPr>
                <w:rFonts w:ascii="仿宋" w:hAnsi="仿宋" w:eastAsia="仿宋" w:cs="仿宋"/>
                <w:b/>
                <w:bCs/>
                <w:color w:val="000000"/>
                <w:kern w:val="0"/>
              </w:rPr>
            </w:pPr>
            <w:r>
              <w:rPr>
                <w:rFonts w:hint="eastAsia" w:ascii="仿宋" w:hAnsi="仿宋" w:eastAsia="仿宋" w:cs="仿宋"/>
                <w:b/>
                <w:bCs/>
                <w:color w:val="000000"/>
                <w:kern w:val="0"/>
              </w:rPr>
              <w:t>托（保）管人信息（若无此内容则无需填写）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bCs/>
                <w:color w:val="000000"/>
                <w:kern w:val="0"/>
              </w:rPr>
            </w:pPr>
            <w:r>
              <w:rPr>
                <w:rFonts w:hint="eastAsia" w:ascii="仿宋" w:hAnsi="仿宋" w:eastAsia="仿宋" w:cs="仿宋"/>
                <w:color w:val="000000"/>
                <w:kern w:val="0"/>
              </w:rPr>
              <w:t>托（保）管人名称</w:t>
            </w:r>
          </w:p>
        </w:tc>
        <w:tc>
          <w:tcPr>
            <w:tcW w:w="8067" w:type="dxa"/>
            <w:gridSpan w:val="15"/>
            <w:tcBorders>
              <w:left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259" w:type="dxa"/>
            <w:gridSpan w:val="17"/>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b/>
                <w:bCs/>
                <w:color w:val="000000"/>
                <w:kern w:val="0"/>
              </w:rPr>
              <w:t>份额25%（含）以上的持有人信息（份额持有人为自然人或一般单位，可填多个）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姓名或名称</w:t>
            </w:r>
          </w:p>
        </w:tc>
        <w:tc>
          <w:tcPr>
            <w:tcW w:w="235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2914"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国家及地区</w:t>
            </w:r>
          </w:p>
        </w:tc>
        <w:tc>
          <w:tcPr>
            <w:tcW w:w="2797" w:type="dxa"/>
            <w:gridSpan w:val="7"/>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92"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证件类型</w:t>
            </w:r>
          </w:p>
        </w:tc>
        <w:tc>
          <w:tcPr>
            <w:tcW w:w="2356"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2914"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持有份额（占比）</w:t>
            </w:r>
          </w:p>
        </w:tc>
        <w:tc>
          <w:tcPr>
            <w:tcW w:w="2797" w:type="dxa"/>
            <w:gridSpan w:val="7"/>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证件号码</w:t>
            </w:r>
          </w:p>
        </w:tc>
        <w:tc>
          <w:tcPr>
            <w:tcW w:w="5711" w:type="dxa"/>
            <w:gridSpan w:val="11"/>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持有份额</w:t>
            </w:r>
          </w:p>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（金额，单位：万）</w:t>
            </w:r>
          </w:p>
        </w:tc>
        <w:tc>
          <w:tcPr>
            <w:tcW w:w="5711" w:type="dxa"/>
            <w:gridSpan w:val="11"/>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259" w:type="dxa"/>
            <w:gridSpan w:val="17"/>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b/>
                <w:bCs/>
                <w:color w:val="000000"/>
                <w:kern w:val="0"/>
              </w:rPr>
              <w:t>份额25%（含）以上的持有人信息（份额持有人为产品，可填多个）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产品管理机构名称</w:t>
            </w:r>
          </w:p>
        </w:tc>
        <w:tc>
          <w:tcPr>
            <w:tcW w:w="2914"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81" w:type="dxa"/>
            <w:gridSpan w:val="5"/>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国家及地区</w:t>
            </w:r>
          </w:p>
        </w:tc>
        <w:tc>
          <w:tcPr>
            <w:tcW w:w="1416"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统一社会信用代码或机构成立证明文件号码</w:t>
            </w:r>
          </w:p>
        </w:tc>
        <w:tc>
          <w:tcPr>
            <w:tcW w:w="5711" w:type="dxa"/>
            <w:gridSpan w:val="11"/>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产品名称</w:t>
            </w:r>
          </w:p>
        </w:tc>
        <w:tc>
          <w:tcPr>
            <w:tcW w:w="5711" w:type="dxa"/>
            <w:gridSpan w:val="11"/>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产品编码</w:t>
            </w:r>
          </w:p>
        </w:tc>
        <w:tc>
          <w:tcPr>
            <w:tcW w:w="2914"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81" w:type="dxa"/>
            <w:gridSpan w:val="5"/>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产品注册地</w:t>
            </w:r>
          </w:p>
        </w:tc>
        <w:tc>
          <w:tcPr>
            <w:tcW w:w="1416"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产品规模（币种，单位：万）</w:t>
            </w:r>
          </w:p>
        </w:tc>
        <w:tc>
          <w:tcPr>
            <w:tcW w:w="2914" w:type="dxa"/>
            <w:gridSpan w:val="4"/>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1381" w:type="dxa"/>
            <w:gridSpan w:val="5"/>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持有份额</w:t>
            </w:r>
          </w:p>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（占比）</w:t>
            </w:r>
          </w:p>
        </w:tc>
        <w:tc>
          <w:tcPr>
            <w:tcW w:w="1416"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548" w:type="dxa"/>
            <w:gridSpan w:val="6"/>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持有份额（金额，单位：万）</w:t>
            </w:r>
          </w:p>
        </w:tc>
        <w:tc>
          <w:tcPr>
            <w:tcW w:w="5711" w:type="dxa"/>
            <w:gridSpan w:val="11"/>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0259" w:type="dxa"/>
            <w:gridSpan w:val="17"/>
            <w:tcBorders>
              <w:left w:val="single" w:color="auto" w:sz="4" w:space="0"/>
              <w:right w:val="single" w:color="auto" w:sz="4" w:space="0"/>
            </w:tcBorders>
            <w:vAlign w:val="center"/>
          </w:tcPr>
          <w:p>
            <w:pPr>
              <w:widowControl/>
              <w:spacing w:line="400" w:lineRule="exact"/>
              <w:jc w:val="left"/>
              <w:rPr>
                <w:rFonts w:ascii="仿宋" w:hAnsi="仿宋" w:eastAsia="仿宋" w:cs="仿宋"/>
                <w:color w:val="000000"/>
                <w:kern w:val="0"/>
              </w:rPr>
            </w:pPr>
            <w:r>
              <w:rPr>
                <w:rFonts w:hint="eastAsia" w:ascii="仿宋" w:hAnsi="仿宋" w:eastAsia="仿宋" w:cs="仿宋"/>
                <w:color w:val="000000"/>
                <w:kern w:val="0"/>
              </w:rPr>
              <w:t>注：份额持有人为产品的，应按照上述信息要求继续填写该产品的份额25%（含）以上的持有人信息，以此类推，直至持有人为自然人或一般单位或不存在份额25%（含）以上持有人的产品为止。期货公司应根据实际情况增减表格数量、调整表格层级关系，以完整反映客户的份额持有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259" w:type="dxa"/>
            <w:gridSpan w:val="17"/>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b/>
                <w:color w:val="000000"/>
                <w:kern w:val="0"/>
              </w:rPr>
              <w:t>期货交易委托信息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开户代理人</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指令下单人</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资金调拨人</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结算单确认人</w:t>
            </w:r>
          </w:p>
        </w:tc>
        <w:tc>
          <w:tcPr>
            <w:tcW w:w="8067"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0259" w:type="dxa"/>
            <w:gridSpan w:val="1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b/>
                <w:color w:val="000000"/>
                <w:kern w:val="0"/>
              </w:rPr>
              <w:t>期货结算账户信息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账户户名</w:t>
            </w:r>
          </w:p>
        </w:tc>
        <w:tc>
          <w:tcPr>
            <w:tcW w:w="235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银行账号</w:t>
            </w:r>
          </w:p>
        </w:tc>
        <w:tc>
          <w:tcPr>
            <w:tcW w:w="291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开户银行</w:t>
            </w:r>
          </w:p>
        </w:tc>
        <w:tc>
          <w:tcPr>
            <w:tcW w:w="2797"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开户行网点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9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p>
        </w:tc>
        <w:tc>
          <w:tcPr>
            <w:tcW w:w="235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c>
          <w:tcPr>
            <w:tcW w:w="291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c>
          <w:tcPr>
            <w:tcW w:w="2797"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0259" w:type="dxa"/>
            <w:gridSpan w:val="17"/>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rPr>
                <w:rFonts w:ascii="仿宋" w:hAnsi="仿宋" w:eastAsia="仿宋" w:cs="仿宋"/>
                <w:b/>
                <w:bCs/>
                <w:kern w:val="0"/>
              </w:rPr>
            </w:pPr>
            <w:r>
              <w:rPr>
                <w:rFonts w:hint="eastAsia" w:ascii="仿宋" w:hAnsi="仿宋" w:eastAsia="仿宋" w:cs="仿宋"/>
                <w:b/>
                <w:bCs/>
                <w:kern w:val="0"/>
              </w:rPr>
              <w:t>客户受益所有人信息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1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客户受益所有人</w:t>
            </w:r>
          </w:p>
          <w:p>
            <w:pPr>
              <w:widowControl/>
              <w:jc w:val="center"/>
              <w:rPr>
                <w:rFonts w:ascii="仿宋" w:hAnsi="仿宋" w:eastAsia="仿宋" w:cs="仿宋"/>
                <w:b/>
                <w:bCs/>
                <w:kern w:val="0"/>
              </w:rPr>
            </w:pPr>
            <w:r>
              <w:rPr>
                <w:rFonts w:hint="eastAsia" w:ascii="仿宋" w:hAnsi="仿宋" w:eastAsia="仿宋" w:cs="仿宋"/>
                <w:kern w:val="0"/>
              </w:rPr>
              <w:t>类型</w:t>
            </w:r>
          </w:p>
        </w:tc>
        <w:tc>
          <w:tcPr>
            <w:tcW w:w="8067" w:type="dxa"/>
            <w:gridSpan w:val="1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w:t>
            </w:r>
            <w:r>
              <w:rPr>
                <w:rFonts w:hint="eastAsia" w:ascii="仿宋" w:hAnsi="仿宋" w:eastAsia="仿宋" w:cs="仿宋"/>
                <w:kern w:val="0"/>
              </w:rPr>
              <w:t>.一般法人机构</w:t>
            </w:r>
          </w:p>
          <w:p>
            <w:pPr>
              <w:widowControl/>
              <w:ind w:left="420" w:left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1.1</w:t>
            </w:r>
            <w:r>
              <w:rPr>
                <w:rFonts w:hint="eastAsia" w:ascii="仿宋" w:hAnsi="仿宋" w:eastAsia="仿宋" w:cs="仿宋"/>
                <w:kern w:val="0"/>
              </w:rPr>
              <w:t>直接或者间接拥有超过25%（含）公司股权或者表决权的（全部）自然人（选该项“持股比例”必填）</w:t>
            </w:r>
          </w:p>
          <w:p>
            <w:pPr>
              <w:widowControl/>
              <w:ind w:firstLine="420" w:firstLine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1.2</w:t>
            </w:r>
            <w:r>
              <w:rPr>
                <w:rFonts w:hint="eastAsia" w:ascii="仿宋" w:hAnsi="仿宋" w:eastAsia="仿宋" w:cs="仿宋"/>
                <w:kern w:val="0"/>
              </w:rPr>
              <w:t>通过人事、财务等其他方式对公司进行.控制的（全部）自然人</w:t>
            </w:r>
          </w:p>
          <w:p>
            <w:pPr>
              <w:widowControl/>
              <w:ind w:firstLine="420" w:firstLine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1.3</w:t>
            </w:r>
            <w:r>
              <w:rPr>
                <w:rFonts w:hint="eastAsia" w:ascii="仿宋" w:hAnsi="仿宋" w:eastAsia="仿宋" w:cs="仿宋"/>
                <w:kern w:val="0"/>
              </w:rPr>
              <w:t>（全部） 公司高级管理人员</w:t>
            </w:r>
          </w:p>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w:t>
            </w:r>
            <w:r>
              <w:rPr>
                <w:rFonts w:hint="eastAsia" w:ascii="仿宋" w:hAnsi="仿宋" w:eastAsia="仿宋" w:cs="仿宋"/>
                <w:kern w:val="0"/>
              </w:rPr>
              <w:t>合伙企业</w:t>
            </w:r>
          </w:p>
          <w:p>
            <w:pPr>
              <w:widowControl/>
              <w:ind w:firstLine="420"/>
              <w:jc w:val="left"/>
              <w:rPr>
                <w:rFonts w:ascii="仿宋" w:hAnsi="仿宋" w:eastAsia="仿宋" w:cs="仿宋"/>
                <w:kern w:val="0"/>
              </w:rPr>
            </w:pPr>
            <w:r>
              <w:rPr>
                <w:rFonts w:hint="eastAsia" w:ascii="仿宋" w:hAnsi="仿宋" w:eastAsia="仿宋" w:cs="仿宋"/>
                <w:kern w:val="0"/>
              </w:rPr>
              <w:sym w:font="Wingdings 2" w:char="00A3"/>
            </w:r>
            <w:r>
              <w:rPr>
                <w:rFonts w:ascii="仿宋" w:hAnsi="仿宋" w:eastAsia="仿宋" w:cs="仿宋"/>
                <w:kern w:val="0"/>
              </w:rPr>
              <w:t xml:space="preserve"> 2.1</w:t>
            </w:r>
            <w:r>
              <w:rPr>
                <w:rFonts w:hint="eastAsia" w:ascii="仿宋" w:hAnsi="仿宋" w:eastAsia="仿宋" w:cs="仿宋"/>
                <w:kern w:val="0"/>
              </w:rPr>
              <w:t xml:space="preserve"> 超过25%（含）合伙权益的（全部）自然人（选该项“持股比例”必填）</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2.2</w:t>
            </w:r>
            <w:r>
              <w:rPr>
                <w:rFonts w:hint="eastAsia" w:ascii="仿宋" w:hAnsi="仿宋" w:eastAsia="仿宋" w:cs="仿宋"/>
                <w:kern w:val="0"/>
              </w:rPr>
              <w:t>通过人事、财务等其他方式对公司进行控制的（全部）自然人</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2.3</w:t>
            </w:r>
            <w:r>
              <w:rPr>
                <w:rFonts w:hint="eastAsia" w:ascii="仿宋" w:hAnsi="仿宋" w:eastAsia="仿宋" w:cs="仿宋"/>
                <w:kern w:val="0"/>
              </w:rPr>
              <w:t>（全部）公司高级管理人员</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2.4</w:t>
            </w:r>
            <w:r>
              <w:rPr>
                <w:rFonts w:hint="eastAsia" w:ascii="仿宋" w:hAnsi="仿宋" w:eastAsia="仿宋" w:cs="仿宋"/>
                <w:kern w:val="0"/>
              </w:rPr>
              <w:t>普通合伙人GP或执行事务合伙人</w:t>
            </w:r>
          </w:p>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3.</w:t>
            </w:r>
            <w:r>
              <w:rPr>
                <w:rFonts w:hint="eastAsia" w:ascii="仿宋" w:hAnsi="仿宋" w:eastAsia="仿宋" w:cs="仿宋"/>
                <w:kern w:val="0"/>
              </w:rPr>
              <w:t>信托</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3.1</w:t>
            </w:r>
            <w:r>
              <w:rPr>
                <w:rFonts w:hint="eastAsia" w:ascii="仿宋" w:hAnsi="仿宋" w:eastAsia="仿宋" w:cs="仿宋"/>
                <w:kern w:val="0"/>
              </w:rPr>
              <w:t xml:space="preserve">（全部）信托的委托人、受托人、受益人及其他对信托实施最终有效控制的自然人     </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4.</w:t>
            </w:r>
            <w:r>
              <w:rPr>
                <w:rFonts w:hint="eastAsia" w:ascii="仿宋" w:hAnsi="仿宋" w:eastAsia="仿宋" w:cs="仿宋"/>
                <w:kern w:val="0"/>
              </w:rPr>
              <w:t>基金、保险资产组合及其他产品</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4.1</w:t>
            </w:r>
            <w:r>
              <w:rPr>
                <w:rFonts w:hint="eastAsia" w:ascii="仿宋" w:hAnsi="仿宋" w:eastAsia="仿宋" w:cs="仿宋"/>
                <w:kern w:val="0"/>
              </w:rPr>
              <w:t xml:space="preserve">拥有超过25%（含）权益份额的（全部）自然人（选该项“持股比例”必填）  </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4.2</w:t>
            </w:r>
            <w:r>
              <w:rPr>
                <w:rFonts w:hint="eastAsia" w:ascii="仿宋" w:hAnsi="仿宋" w:eastAsia="仿宋" w:cs="仿宋"/>
                <w:kern w:val="0"/>
              </w:rPr>
              <w:t>基金（产品）经理或直接操作管理基金（产品）的自然人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4.3</w:t>
            </w:r>
            <w:r>
              <w:rPr>
                <w:rFonts w:hint="eastAsia" w:ascii="仿宋" w:hAnsi="仿宋" w:eastAsia="仿宋" w:cs="仿宋"/>
                <w:kern w:val="0"/>
              </w:rPr>
              <w:t>其他对基金进行控制的自然人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4.4</w:t>
            </w:r>
            <w:r>
              <w:rPr>
                <w:rFonts w:hint="eastAsia" w:ascii="仿宋" w:hAnsi="仿宋" w:eastAsia="仿宋" w:cs="仿宋"/>
                <w:kern w:val="0"/>
              </w:rPr>
              <w:t>其他对保险资产组合进行控制的自然人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4.5</w:t>
            </w:r>
            <w:r>
              <w:rPr>
                <w:rFonts w:hint="eastAsia" w:ascii="仿宋" w:hAnsi="仿宋" w:eastAsia="仿宋" w:cs="仿宋"/>
                <w:kern w:val="0"/>
              </w:rPr>
              <w:t>对其他产品进行控制的自然人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个体工商户</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2实际控制人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个人独资企业</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2实际控制人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不具备法人资格的专业服务机构</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2实际控制人</w:t>
            </w:r>
          </w:p>
          <w:p>
            <w:pPr>
              <w:widowControl/>
              <w:jc w:val="left"/>
              <w:rPr>
                <w:rFonts w:ascii="仿宋" w:hAnsi="仿宋" w:eastAsia="仿宋" w:cs="仿宋"/>
                <w:kern w:val="0"/>
              </w:rPr>
            </w:pPr>
            <w:r>
              <w:rPr>
                <w:rFonts w:hint="eastAsia" w:ascii="仿宋" w:hAnsi="仿宋" w:eastAsia="仿宋" w:cs="仿宋"/>
                <w:kern w:val="0"/>
              </w:rPr>
              <w:t>□ 8</w:t>
            </w:r>
            <w:r>
              <w:rPr>
                <w:rFonts w:ascii="仿宋" w:hAnsi="仿宋" w:eastAsia="仿宋" w:cs="仿宋"/>
                <w:kern w:val="0"/>
              </w:rPr>
              <w:t>.</w:t>
            </w:r>
            <w:r>
              <w:rPr>
                <w:rFonts w:hint="eastAsia" w:ascii="仿宋" w:hAnsi="仿宋" w:eastAsia="仿宋" w:cs="仿宋"/>
                <w:kern w:val="0"/>
              </w:rPr>
              <w:t>经营农林渔牧产业的非公司制农民专业合作组织</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8</w:t>
            </w:r>
            <w:r>
              <w:rPr>
                <w:rFonts w:ascii="仿宋" w:hAnsi="仿宋" w:eastAsia="仿宋" w:cs="仿宋"/>
                <w:kern w:val="0"/>
              </w:rPr>
              <w:t>.1</w:t>
            </w:r>
            <w:r>
              <w:rPr>
                <w:rFonts w:hint="eastAsia" w:ascii="仿宋" w:hAnsi="仿宋" w:eastAsia="仿宋" w:cs="仿宋"/>
                <w:kern w:val="0"/>
              </w:rPr>
              <w:t>法定代表人</w:t>
            </w:r>
          </w:p>
          <w:p>
            <w:pPr>
              <w:widowControl/>
              <w:ind w:left="420" w:leftChars="200"/>
              <w:jc w:val="left"/>
              <w:rPr>
                <w:rFonts w:ascii="仿宋" w:hAnsi="仿宋" w:eastAsia="仿宋" w:cs="仿宋"/>
                <w:kern w:val="0"/>
              </w:rPr>
            </w:pPr>
            <w:r>
              <w:rPr>
                <w:rFonts w:hint="eastAsia" w:ascii="仿宋" w:hAnsi="仿宋" w:eastAsia="仿宋" w:cs="仿宋"/>
                <w:kern w:val="0"/>
              </w:rPr>
              <w:t>□ 8</w:t>
            </w:r>
            <w:r>
              <w:rPr>
                <w:rFonts w:ascii="仿宋" w:hAnsi="仿宋" w:eastAsia="仿宋" w:cs="仿宋"/>
                <w:kern w:val="0"/>
              </w:rPr>
              <w:t>.2</w:t>
            </w:r>
            <w:r>
              <w:rPr>
                <w:rFonts w:hint="eastAsia" w:ascii="仿宋" w:hAnsi="仿宋" w:eastAsia="仿宋" w:cs="仿宋"/>
                <w:kern w:val="0"/>
              </w:rPr>
              <w:t xml:space="preserve"> 实际控制人</w:t>
            </w:r>
          </w:p>
          <w:p>
            <w:pPr>
              <w:widowControl/>
              <w:jc w:val="left"/>
              <w:rPr>
                <w:rFonts w:ascii="仿宋" w:hAnsi="仿宋" w:eastAsia="仿宋" w:cs="仿宋"/>
                <w:kern w:val="0"/>
              </w:rPr>
            </w:pPr>
            <w:r>
              <w:rPr>
                <w:rFonts w:hint="eastAsia" w:ascii="仿宋" w:hAnsi="仿宋" w:eastAsia="仿宋" w:cs="仿宋"/>
                <w:kern w:val="0"/>
              </w:rPr>
              <w:t>□ 9</w:t>
            </w:r>
            <w:r>
              <w:rPr>
                <w:rFonts w:ascii="仿宋" w:hAnsi="仿宋" w:eastAsia="仿宋" w:cs="仿宋"/>
                <w:kern w:val="0"/>
              </w:rPr>
              <w:t>.</w:t>
            </w:r>
            <w:r>
              <w:rPr>
                <w:rFonts w:hint="eastAsia" w:ascii="仿宋" w:hAnsi="仿宋" w:eastAsia="仿宋" w:cs="仿宋"/>
                <w:kern w:val="0"/>
              </w:rPr>
              <w:t>受政府控制的企事业单位</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9</w:t>
            </w:r>
            <w:r>
              <w:rPr>
                <w:rFonts w:ascii="仿宋" w:hAnsi="仿宋" w:eastAsia="仿宋" w:cs="仿宋"/>
                <w:kern w:val="0"/>
              </w:rPr>
              <w:t>.1</w:t>
            </w:r>
            <w:r>
              <w:rPr>
                <w:rFonts w:hint="eastAsia" w:ascii="仿宋" w:hAnsi="仿宋" w:eastAsia="仿宋" w:cs="仿宋"/>
                <w:kern w:val="0"/>
              </w:rPr>
              <w:t>法定代表人</w:t>
            </w:r>
          </w:p>
          <w:p>
            <w:pPr>
              <w:widowControl/>
              <w:ind w:left="420" w:leftChars="200"/>
              <w:jc w:val="left"/>
              <w:rPr>
                <w:rFonts w:ascii="仿宋" w:hAnsi="仿宋" w:eastAsia="仿宋" w:cs="仿宋"/>
                <w:kern w:val="0"/>
              </w:rPr>
            </w:pPr>
            <w:r>
              <w:rPr>
                <w:rFonts w:hint="eastAsia" w:ascii="仿宋" w:hAnsi="仿宋" w:eastAsia="仿宋" w:cs="仿宋"/>
                <w:kern w:val="0"/>
              </w:rPr>
              <w:t>□ 9</w:t>
            </w:r>
            <w:r>
              <w:rPr>
                <w:rFonts w:ascii="仿宋" w:hAnsi="仿宋" w:eastAsia="仿宋" w:cs="仿宋"/>
                <w:kern w:val="0"/>
              </w:rPr>
              <w:t>.2</w:t>
            </w:r>
            <w:r>
              <w:rPr>
                <w:rFonts w:hint="eastAsia" w:ascii="仿宋" w:hAnsi="仿宋" w:eastAsia="仿宋" w:cs="仿宋"/>
                <w:kern w:val="0"/>
              </w:rPr>
              <w:t>实际控制人</w:t>
            </w:r>
          </w:p>
          <w:p>
            <w:pPr>
              <w:widowControl/>
              <w:jc w:val="left"/>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w:t>
            </w:r>
            <w:r>
              <w:rPr>
                <w:rFonts w:hint="eastAsia" w:ascii="仿宋" w:hAnsi="仿宋" w:eastAsia="仿宋" w:cs="仿宋"/>
                <w:kern w:val="0"/>
              </w:rPr>
              <w:t>其他类型的机构或组织</w:t>
            </w:r>
          </w:p>
          <w:p>
            <w:pPr>
              <w:ind w:left="420" w:hanging="420" w:hangingChars="200"/>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10</w:t>
            </w:r>
            <w:r>
              <w:rPr>
                <w:rFonts w:ascii="仿宋" w:hAnsi="仿宋" w:eastAsia="仿宋" w:cs="仿宋"/>
                <w:kern w:val="0"/>
              </w:rPr>
              <w:t>.1</w:t>
            </w:r>
            <w:r>
              <w:rPr>
                <w:rFonts w:hint="eastAsia" w:ascii="仿宋" w:hAnsi="仿宋" w:eastAsia="仿宋" w:cs="仿宋"/>
                <w:kern w:val="0"/>
              </w:rPr>
              <w:t>直接或者间接拥有超过25%（含）公司股权或者表决权的（全部）自然人（选该项“持股比例”必填）</w:t>
            </w:r>
          </w:p>
          <w:p>
            <w:pPr>
              <w:ind w:firstLine="420" w:firstLineChars="200"/>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.2</w:t>
            </w:r>
            <w:r>
              <w:rPr>
                <w:rFonts w:hint="eastAsia" w:ascii="仿宋" w:hAnsi="仿宋" w:eastAsia="仿宋" w:cs="仿宋"/>
                <w:kern w:val="0"/>
              </w:rPr>
              <w:t xml:space="preserve">通过人事、财务等其他方式对公司进行控制的（全部）自然人   </w:t>
            </w:r>
          </w:p>
          <w:p>
            <w:pPr>
              <w:rPr>
                <w:rFonts w:ascii="仿宋" w:hAnsi="仿宋" w:eastAsia="仿宋" w:cs="仿宋"/>
                <w:kern w:val="0"/>
              </w:rPr>
            </w:pP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10</w:t>
            </w:r>
            <w:r>
              <w:rPr>
                <w:rFonts w:ascii="仿宋" w:hAnsi="仿宋" w:eastAsia="仿宋" w:cs="仿宋"/>
                <w:kern w:val="0"/>
              </w:rPr>
              <w:t>.3</w:t>
            </w:r>
            <w:r>
              <w:rPr>
                <w:rFonts w:hint="eastAsia" w:ascii="仿宋" w:hAnsi="仿宋" w:eastAsia="仿宋" w:cs="仿宋"/>
                <w:kern w:val="0"/>
              </w:rPr>
              <w:t>（全部） 公司高级管理人员</w:t>
            </w:r>
          </w:p>
          <w:p>
            <w:pPr>
              <w:ind w:firstLine="435"/>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.4</w:t>
            </w:r>
            <w:r>
              <w:rPr>
                <w:rFonts w:hint="eastAsia" w:ascii="仿宋" w:hAnsi="仿宋" w:eastAsia="仿宋" w:cs="仿宋"/>
                <w:kern w:val="0"/>
              </w:rPr>
              <w:t>主要负责人、主要管理人或主要发起人</w:t>
            </w:r>
          </w:p>
          <w:p>
            <w:pPr>
              <w:rPr>
                <w:rFonts w:ascii="仿宋" w:hAnsi="仿宋" w:eastAsia="仿宋" w:cs="仿宋"/>
                <w:kern w:val="0"/>
              </w:rPr>
            </w:pPr>
            <w:r>
              <w:rPr>
                <w:rFonts w:hint="eastAsia" w:ascii="仿宋" w:hAnsi="仿宋" w:eastAsia="仿宋" w:cs="仿宋"/>
                <w:kern w:val="0"/>
              </w:rPr>
              <w:t>□ 11</w:t>
            </w:r>
            <w:r>
              <w:rPr>
                <w:rFonts w:ascii="仿宋" w:hAnsi="仿宋" w:eastAsia="仿宋" w:cs="仿宋"/>
                <w:kern w:val="0"/>
              </w:rPr>
              <w:t>.</w:t>
            </w:r>
            <w:r>
              <w:rPr>
                <w:rFonts w:hint="eastAsia" w:ascii="仿宋" w:hAnsi="仿宋" w:eastAsia="仿宋" w:cs="仿宋"/>
                <w:kern w:val="0"/>
              </w:rPr>
              <w:t>可以不识别受益所有人类型（可以不用填写下列受益所有人信息）</w:t>
            </w:r>
          </w:p>
          <w:p>
            <w:pPr>
              <w:ind w:left="420" w:leftChars="200"/>
              <w:rPr>
                <w:rFonts w:ascii="仿宋" w:hAnsi="仿宋" w:eastAsia="仿宋" w:cs="仿宋"/>
                <w:kern w:val="0"/>
              </w:rPr>
            </w:pPr>
            <w:r>
              <w:rPr>
                <w:rFonts w:hint="eastAsia" w:ascii="仿宋" w:hAnsi="仿宋" w:eastAsia="仿宋" w:cs="仿宋"/>
                <w:kern w:val="0"/>
              </w:rPr>
              <w:t>□ 11</w:t>
            </w:r>
            <w:r>
              <w:rPr>
                <w:rFonts w:ascii="仿宋" w:hAnsi="仿宋" w:eastAsia="仿宋" w:cs="仿宋"/>
                <w:kern w:val="0"/>
              </w:rPr>
              <w:t>.1</w:t>
            </w:r>
            <w:r>
              <w:rPr>
                <w:rFonts w:hint="eastAsia" w:ascii="仿宋" w:hAnsi="仿宋" w:eastAsia="仿宋" w:cs="仿宋"/>
                <w:kern w:val="0"/>
              </w:rPr>
              <w:t>各级党的机关、国家权力机关、行政机关、司法机关、军事机关、人民政协机关和人民解放军、武警部队、参照公务员法管理的事业单位</w:t>
            </w:r>
          </w:p>
          <w:p>
            <w:pPr>
              <w:ind w:left="420" w:leftChars="200"/>
            </w:pPr>
            <w:r>
              <w:rPr>
                <w:rFonts w:hint="eastAsia" w:ascii="仿宋" w:hAnsi="仿宋" w:eastAsia="仿宋" w:cs="仿宋"/>
                <w:kern w:val="0"/>
              </w:rPr>
              <w:t>□ 11</w:t>
            </w:r>
            <w:r>
              <w:rPr>
                <w:rFonts w:ascii="仿宋" w:hAnsi="仿宋" w:eastAsia="仿宋" w:cs="仿宋"/>
                <w:kern w:val="0"/>
              </w:rPr>
              <w:t>.2</w:t>
            </w:r>
            <w:r>
              <w:rPr>
                <w:rFonts w:hint="eastAsia" w:ascii="仿宋" w:hAnsi="仿宋" w:eastAsia="仿宋" w:cs="仿宋"/>
                <w:kern w:val="0"/>
              </w:rPr>
              <w:t>政府间国际组织、外国政府驻华使领馆及办事处等机构及组织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受益所有人类型（代码）</w:t>
            </w:r>
          </w:p>
        </w:tc>
        <w:tc>
          <w:tcPr>
            <w:tcW w:w="11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姓名</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证件类型</w:t>
            </w: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证件号码</w:t>
            </w:r>
          </w:p>
        </w:tc>
        <w:tc>
          <w:tcPr>
            <w:tcW w:w="13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证件有效期</w:t>
            </w:r>
          </w:p>
          <w:p>
            <w:pPr>
              <w:widowControl/>
              <w:jc w:val="center"/>
              <w:rPr>
                <w:rFonts w:ascii="仿宋" w:hAnsi="仿宋" w:eastAsia="仿宋" w:cs="仿宋"/>
                <w:kern w:val="0"/>
              </w:rPr>
            </w:pPr>
            <w:r>
              <w:rPr>
                <w:rFonts w:hint="eastAsia" w:ascii="仿宋" w:hAnsi="仿宋" w:eastAsia="仿宋" w:cs="仿宋"/>
                <w:kern w:val="0"/>
              </w:rPr>
              <w:t>（起止日期）</w:t>
            </w:r>
          </w:p>
        </w:tc>
        <w:tc>
          <w:tcPr>
            <w:tcW w:w="68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持股比例</w:t>
            </w:r>
          </w:p>
        </w:tc>
        <w:tc>
          <w:tcPr>
            <w:tcW w:w="205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地址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1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3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至</w:t>
            </w:r>
          </w:p>
        </w:tc>
        <w:tc>
          <w:tcPr>
            <w:tcW w:w="68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5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rPr>
                <w:rFonts w:ascii="仿宋" w:hAnsi="仿宋" w:eastAsia="仿宋" w:cs="仿宋"/>
                <w:kern w:val="0"/>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b/>
                <w:bCs/>
                <w:kern w:val="0"/>
              </w:rPr>
              <w:t>客户控股股东或实际控制人信息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股东名称</w:t>
            </w:r>
          </w:p>
        </w:tc>
        <w:tc>
          <w:tcPr>
            <w:tcW w:w="11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国籍</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证件类型</w:t>
            </w: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证件号码</w:t>
            </w:r>
          </w:p>
        </w:tc>
        <w:tc>
          <w:tcPr>
            <w:tcW w:w="207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证件有效期</w:t>
            </w:r>
          </w:p>
          <w:p>
            <w:pPr>
              <w:widowControl/>
              <w:jc w:val="center"/>
              <w:rPr>
                <w:rFonts w:ascii="仿宋" w:hAnsi="仿宋" w:eastAsia="仿宋" w:cs="仿宋"/>
                <w:kern w:val="0"/>
              </w:rPr>
            </w:pPr>
            <w:r>
              <w:rPr>
                <w:rFonts w:hint="eastAsia" w:ascii="仿宋" w:hAnsi="仿宋" w:eastAsia="仿宋" w:cs="仿宋"/>
                <w:kern w:val="0"/>
              </w:rPr>
              <w:t>（起止日期）</w:t>
            </w:r>
          </w:p>
        </w:tc>
        <w:tc>
          <w:tcPr>
            <w:tcW w:w="205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地址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1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7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5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jc w:val="left"/>
              <w:rPr>
                <w:rFonts w:ascii="仿宋" w:hAnsi="仿宋" w:eastAsia="仿宋" w:cs="仿宋"/>
                <w:bCs/>
                <w:kern w:val="0"/>
              </w:rPr>
            </w:pPr>
            <w:r>
              <w:rPr>
                <w:rFonts w:hint="eastAsia" w:ascii="仿宋" w:hAnsi="仿宋" w:eastAsia="仿宋" w:cs="仿宋"/>
                <w:bCs/>
                <w:kern w:val="0"/>
              </w:rPr>
              <w:t>本机构承诺以上填写内容真实、准确、完整、有效，并在上述信息发生变更后10个工作日内将变更的相关信息提交贵公司，否则本机构愿意承担相关责任。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rPr>
              <w:t>杜绝非法期货活动承诺书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rPr>
            </w:pPr>
            <w:r>
              <w:rPr>
                <w:rFonts w:ascii="仿宋" w:hAnsi="仿宋" w:eastAsia="仿宋" w:cs="仿宋"/>
                <w:color w:val="000000"/>
                <w:kern w:val="0"/>
              </w:rPr>
              <w:t>为了维护期货市场正常秩序，本</w:t>
            </w:r>
            <w:r>
              <w:rPr>
                <w:rFonts w:hint="eastAsia" w:ascii="仿宋" w:hAnsi="仿宋" w:eastAsia="仿宋" w:cs="仿宋"/>
                <w:color w:val="000000"/>
                <w:kern w:val="0"/>
              </w:rPr>
              <w:t>机构</w:t>
            </w:r>
            <w:r>
              <w:rPr>
                <w:rFonts w:ascii="仿宋" w:hAnsi="仿宋" w:eastAsia="仿宋" w:cs="仿宋"/>
                <w:color w:val="000000"/>
                <w:kern w:val="0"/>
              </w:rPr>
              <w:t>郑重承诺如下：</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（一）</w:t>
            </w:r>
            <w:r>
              <w:rPr>
                <w:rFonts w:ascii="仿宋" w:hAnsi="仿宋" w:eastAsia="仿宋" w:cs="仿宋"/>
                <w:color w:val="000000"/>
                <w:kern w:val="0"/>
              </w:rPr>
              <w:t>申请开立的账户用途合法；</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（二）</w:t>
            </w:r>
            <w:r>
              <w:rPr>
                <w:rFonts w:ascii="仿宋" w:hAnsi="仿宋" w:eastAsia="仿宋" w:cs="仿宋"/>
                <w:color w:val="000000"/>
                <w:kern w:val="0"/>
              </w:rPr>
              <w:t>账户由</w:t>
            </w:r>
            <w:r>
              <w:rPr>
                <w:rFonts w:hint="eastAsia" w:ascii="仿宋" w:hAnsi="仿宋" w:eastAsia="仿宋" w:cs="仿宋"/>
                <w:color w:val="000000"/>
                <w:kern w:val="0"/>
              </w:rPr>
              <w:t>本机构</w:t>
            </w:r>
            <w:r>
              <w:rPr>
                <w:rFonts w:ascii="仿宋" w:hAnsi="仿宋" w:eastAsia="仿宋" w:cs="仿宋"/>
                <w:color w:val="000000"/>
                <w:kern w:val="0"/>
              </w:rPr>
              <w:t>使用，不将账户提供给他人使用；</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（三）</w:t>
            </w:r>
            <w:r>
              <w:rPr>
                <w:rFonts w:ascii="仿宋" w:hAnsi="仿宋" w:eastAsia="仿宋" w:cs="仿宋"/>
                <w:color w:val="000000"/>
                <w:kern w:val="0"/>
              </w:rPr>
              <w:t>不将账户用于非法期货活动；非法期货活动是指《期货交易管理条例》规定的非法设立期货交易场所或者以其他形式组织期货交易活动，以及非法设立期货公司或者以其他形式擅自从事期货业务。</w:t>
            </w:r>
          </w:p>
          <w:p>
            <w:pPr>
              <w:widowControl/>
              <w:ind w:firstLine="420" w:firstLineChars="200"/>
              <w:jc w:val="left"/>
              <w:rPr>
                <w:rFonts w:ascii="仿宋" w:hAnsi="仿宋" w:eastAsia="仿宋" w:cs="仿宋"/>
                <w:b/>
                <w:bCs/>
                <w:color w:val="000000"/>
                <w:kern w:val="0"/>
              </w:rPr>
            </w:pPr>
            <w:r>
              <w:rPr>
                <w:rFonts w:ascii="仿宋" w:hAnsi="仿宋" w:eastAsia="仿宋" w:cs="仿宋"/>
                <w:color w:val="000000"/>
                <w:kern w:val="0"/>
              </w:rPr>
              <w:t>若本</w:t>
            </w:r>
            <w:r>
              <w:rPr>
                <w:rFonts w:hint="eastAsia" w:ascii="仿宋" w:hAnsi="仿宋" w:eastAsia="仿宋" w:cs="仿宋"/>
                <w:color w:val="000000"/>
                <w:kern w:val="0"/>
              </w:rPr>
              <w:t>机构</w:t>
            </w:r>
            <w:r>
              <w:rPr>
                <w:rFonts w:ascii="仿宋" w:hAnsi="仿宋" w:eastAsia="仿宋" w:cs="仿宋"/>
                <w:color w:val="000000"/>
                <w:kern w:val="0"/>
              </w:rPr>
              <w:t>违反上述承诺，自愿承担由此产生的全部后果。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rPr>
              <w:t>实际控制关系账户确认栏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根据中国期货市场监控中心《期货市场实际控制关系账户管理办法》的要求，为加强期货市场监管，落实实名制要求，促进实际控制关系账户信息报备工作的规范化，现向您揭示实际控制关系相关内容。以下情况属于实际控制关系的情况： </w:t>
            </w:r>
          </w:p>
          <w:p>
            <w:pPr>
              <w:widowControl/>
              <w:ind w:firstLine="420" w:firstLineChars="200"/>
              <w:jc w:val="left"/>
            </w:pPr>
            <w:r>
              <w:rPr>
                <w:rFonts w:hint="eastAsia" w:ascii="仿宋" w:hAnsi="仿宋" w:eastAsia="仿宋" w:cs="仿宋"/>
                <w:color w:val="000000"/>
                <w:kern w:val="0"/>
                <w:lang w:bidi="ar"/>
              </w:rPr>
              <w:t xml:space="preserve">（一）行为人为他人的控股股东，即行为人的出资额占他人资本总额的50%以上或者其持有的股份占他人股本总额50%以上的股东，出资额或者持有股份的比例虽然不足50%，但依其出资额或持有的股份所享有的表决权已足以对股东会、股东大会的决议产生重大影响的股东； </w:t>
            </w:r>
          </w:p>
          <w:p>
            <w:pPr>
              <w:widowControl/>
              <w:ind w:firstLine="420" w:firstLineChars="200"/>
              <w:jc w:val="left"/>
            </w:pPr>
            <w:r>
              <w:rPr>
                <w:rFonts w:hint="eastAsia" w:ascii="仿宋" w:hAnsi="仿宋" w:eastAsia="仿宋" w:cs="仿宋"/>
                <w:color w:val="000000"/>
                <w:kern w:val="0"/>
                <w:lang w:bidi="ar"/>
              </w:rPr>
              <w:t xml:space="preserve">（二）行为人为他人的开户授权人、指定下单人、资金调拨人、结算单确认人或者其他形式的委托代理人；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（三）行为人为他人的法定代表人、主要合伙人、董事、监事、高级管理人员等，或者行为人与他人的法定代表人、主要合伙人、董事、监事、高级管理人员等一致；</w:t>
            </w:r>
          </w:p>
          <w:p>
            <w:pPr>
              <w:widowControl/>
              <w:ind w:firstLine="420" w:firstLineChars="200"/>
              <w:jc w:val="left"/>
            </w:pPr>
            <w:r>
              <w:rPr>
                <w:rFonts w:hint="eastAsia" w:ascii="仿宋" w:hAnsi="仿宋" w:eastAsia="仿宋" w:cs="仿宋"/>
                <w:color w:val="000000"/>
                <w:kern w:val="0"/>
                <w:lang w:bidi="ar"/>
              </w:rPr>
              <w:t xml:space="preserve">（四）行为人与他人之间存在配偶关系； </w:t>
            </w:r>
          </w:p>
          <w:p>
            <w:pPr>
              <w:widowControl/>
              <w:ind w:firstLine="420" w:firstLineChars="200"/>
              <w:jc w:val="left"/>
            </w:pPr>
            <w:r>
              <w:rPr>
                <w:rFonts w:hint="eastAsia" w:ascii="仿宋" w:hAnsi="仿宋" w:eastAsia="仿宋" w:cs="仿宋"/>
                <w:color w:val="000000"/>
                <w:kern w:val="0"/>
                <w:lang w:bidi="ar"/>
              </w:rPr>
              <w:t xml:space="preserve">（五）行为人与他人之间存在父母、子女、兄弟姐妹等关系，且对他人账户的日常交易决策具有决定权或者重大影响；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（六）行为人通过投资关系、协议、融资安排或者其他安排，对他人账户的日常交易决策具有决定权或者重大影响；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（七）行为人对两个或多个他人期货账户的日常交易决策具有决定权或者重大影响；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（八）交易所认定的其他情形。 </w:t>
            </w:r>
          </w:p>
          <w:p>
            <w:pPr>
              <w:widowControl/>
              <w:ind w:firstLine="420" w:firstLineChars="200"/>
              <w:jc w:val="left"/>
            </w:pPr>
            <w:r>
              <w:rPr>
                <w:rFonts w:hint="eastAsia" w:ascii="仿宋" w:hAnsi="仿宋" w:eastAsia="仿宋" w:cs="仿宋"/>
                <w:color w:val="000000"/>
                <w:kern w:val="0"/>
                <w:lang w:bidi="ar"/>
              </w:rPr>
              <w:t xml:space="preserve">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1、本机构知悉并承诺遵守交易所关于存在实际控制关系账户的有关规则及要求，合法合规参与期货交易，自愿承担相应的法律责任并接受交易所的处理措施。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2、本机构承诺若符合交易所的实际控制关系账户认定标准,将会在签署经纪合同后10个交易日内通过开户期货公司填写实际控制关系报备信息，完成实际控制关系报备。若开户时不存在实际控制关系，但未来实际控制关系发生变化时，也将及时履行申报等相关义务。 </w:t>
            </w:r>
          </w:p>
          <w:p>
            <w:pPr>
              <w:widowControl/>
              <w:ind w:firstLine="420" w:firstLineChars="200"/>
              <w:jc w:val="left"/>
            </w:pPr>
            <w:r>
              <w:rPr>
                <w:rFonts w:hint="eastAsia" w:ascii="仿宋" w:hAnsi="仿宋" w:eastAsia="仿宋" w:cs="仿宋"/>
                <w:color w:val="000000"/>
                <w:kern w:val="0"/>
                <w:lang w:bidi="ar"/>
              </w:rPr>
              <w:t xml:space="preserve">3、本机构承诺愿意配合交易所及相关期货公司采取的相应措施；完全知晓虚假声明可能导致的后果，自愿承担因违法违规行为产生的法律责任并接受交易所的处理措施。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rPr>
            </w:pPr>
            <w:r>
              <w:rPr>
                <w:rFonts w:hint="eastAsia" w:ascii="仿宋" w:hAnsi="仿宋" w:eastAsia="仿宋" w:cs="仿宋"/>
                <w:b/>
                <w:bCs/>
                <w:color w:val="000000"/>
                <w:kern w:val="0"/>
                <w:lang w:bidi="ar"/>
              </w:rPr>
              <w:t xml:space="preserve">经审慎评估，本机构与其他机构或个人 □不存在 / □存在 实际控制关系。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hint="eastAsia" w:ascii="仿宋" w:hAnsi="仿宋" w:eastAsia="仿宋" w:cs="仿宋"/>
                <w:b/>
                <w:bCs/>
                <w:color w:val="000000"/>
                <w:kern w:val="0"/>
                <w:lang w:bidi="ar"/>
              </w:rPr>
              <w:t>程序化交易确认栏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程序化交易是指由计算机按照事先设定的具有行情分析、风险管理等功能的交易模型，自动下达交易信号或者报单指令的交易方式。请您根据上述内容如实对自身情况进行评估，并做出相关承诺：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（一）本机构知悉并承诺遵守交易所关于程序化交易的有关规则及要求，合法合规参与期货交易，自愿承担相应的法律责任并接受交易所的处理措施。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（二）本机构承诺若符合交易所的程序化交易认定标准,将及时告知期货公司完成程序化交易关系报备。若开户时不存在程序化交易，但未来发生程序化交易发之前，也将及时履行申报等相关义务。 </w:t>
            </w:r>
          </w:p>
          <w:p>
            <w:pPr>
              <w:widowControl/>
              <w:ind w:firstLine="420" w:firstLineChars="200"/>
              <w:jc w:val="left"/>
            </w:pPr>
            <w:r>
              <w:rPr>
                <w:rFonts w:hint="eastAsia" w:ascii="仿宋" w:hAnsi="仿宋" w:eastAsia="仿宋" w:cs="仿宋"/>
                <w:color w:val="000000"/>
                <w:kern w:val="0"/>
                <w:lang w:bidi="ar"/>
              </w:rPr>
              <w:t xml:space="preserve">（三）本机构承诺愿意配合交易所及相关期货公司采取的相应措施；完全知晓虚假声明可能导致的后果，自愿承担因违法违规行为产生的法律责任并接受交易所的处理措施。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经审慎评估，本机构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 xml:space="preserve">不存在 /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存在 程序化交易。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ascii="仿宋" w:hAnsi="仿宋" w:eastAsia="仿宋" w:cs="仿宋"/>
                <w:b/>
                <w:bCs/>
                <w:color w:val="000000"/>
                <w:kern w:val="0"/>
                <w:lang w:bidi="ar"/>
              </w:rPr>
              <w:t>客户声明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本机构声明： </w:t>
            </w:r>
          </w:p>
          <w:p>
            <w:pPr>
              <w:widowControl/>
              <w:ind w:firstLine="420" w:firstLineChars="200"/>
              <w:jc w:val="left"/>
            </w:pPr>
            <w:r>
              <w:rPr>
                <w:rFonts w:hint="eastAsia" w:ascii="仿宋" w:hAnsi="仿宋" w:eastAsia="仿宋" w:cs="仿宋"/>
                <w:color w:val="000000"/>
                <w:kern w:val="0"/>
                <w:lang w:bidi="ar"/>
              </w:rPr>
              <w:t xml:space="preserve">1、本机构有能力承担因参与期货交易等业务而产生的风险，并保证参与交易资金来源的合法性和所提供证件、资料的真实性，承诺遵守期货交易所的各项业务规则，自愿承担期货交易结果;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2、本机构承诺以上填写内容和授权事项均属实，如因以上提供的信息不真实、不准不完整而产生的风险和后果，全部由本机构承担；如上述内容发生变更将及时通知贵公司，如因未能及时完成告知由此产生的后果将由本机构承担。</w:t>
            </w:r>
          </w:p>
          <w:p>
            <w:pPr>
              <w:widowControl/>
              <w:ind w:right="2100" w:rightChars="1000"/>
              <w:jc w:val="right"/>
            </w:pPr>
            <w:r>
              <w:rPr>
                <w:rFonts w:hint="eastAsia" w:ascii="仿宋" w:hAnsi="仿宋" w:eastAsia="仿宋" w:cs="仿宋"/>
                <w:color w:val="000000"/>
                <w:kern w:val="0"/>
                <w:lang w:bidi="ar"/>
              </w:rPr>
              <w:t xml:space="preserve">法定代表人或被授权人签字： </w:t>
            </w:r>
          </w:p>
          <w:p>
            <w:pPr>
              <w:widowControl/>
              <w:ind w:right="2100" w:rightChars="1000"/>
              <w:jc w:val="right"/>
            </w:pPr>
            <w:r>
              <w:rPr>
                <w:rFonts w:hint="eastAsia" w:ascii="仿宋" w:hAnsi="仿宋" w:eastAsia="仿宋" w:cs="仿宋"/>
                <w:color w:val="000000"/>
                <w:kern w:val="0"/>
                <w:lang w:bidi="ar"/>
              </w:rPr>
              <w:t xml:space="preserve">机构加盖公章： </w:t>
            </w:r>
          </w:p>
          <w:p>
            <w:pPr>
              <w:widowControl/>
              <w:ind w:right="2100" w:rightChars="1000"/>
              <w:jc w:val="right"/>
              <w:rPr>
                <w:rFonts w:ascii="仿宋" w:hAnsi="仿宋" w:eastAsia="仿宋" w:cs="仿宋"/>
                <w:b/>
                <w:bCs/>
                <w:color w:val="000000"/>
                <w:kern w:val="0"/>
                <w:lang w:bidi="ar"/>
              </w:rPr>
            </w:pPr>
            <w:r>
              <w:rPr>
                <w:rFonts w:hint="eastAsia" w:ascii="仿宋" w:hAnsi="仿宋" w:eastAsia="仿宋" w:cs="仿宋"/>
                <w:color w:val="000000"/>
                <w:kern w:val="0"/>
                <w:lang w:bidi="ar"/>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lang w:bidi="ar"/>
              </w:rPr>
            </w:pPr>
            <w:r>
              <w:rPr>
                <w:rFonts w:hint="eastAsia" w:ascii="仿宋" w:hAnsi="仿宋" w:eastAsia="仿宋" w:cs="仿宋"/>
                <w:b/>
                <w:bCs/>
                <w:color w:val="000000"/>
                <w:kern w:val="0"/>
                <w:lang w:bidi="ar"/>
              </w:rPr>
              <w:t>银河期货有限公司审核栏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jc w:val="left"/>
              <w:rPr>
                <w:rFonts w:ascii="仿宋" w:hAnsi="仿宋" w:eastAsia="仿宋" w:cs="仿宋"/>
                <w:bCs/>
                <w:kern w:val="0"/>
              </w:rPr>
            </w:pPr>
            <w:r>
              <w:rPr>
                <w:rFonts w:hint="eastAsia" w:ascii="仿宋" w:hAnsi="仿宋" w:eastAsia="仿宋" w:cs="仿宋"/>
                <w:bCs/>
                <w:kern w:val="0"/>
              </w:rPr>
              <w:t>1、</w:t>
            </w:r>
            <w:r>
              <w:rPr>
                <w:rFonts w:hint="eastAsia" w:ascii="仿宋" w:hAnsi="仿宋" w:eastAsia="仿宋" w:cs="仿宋"/>
                <w:b/>
                <w:kern w:val="0"/>
              </w:rPr>
              <w:t>客户受益所有人 □存在/□不存在 特定自然人；</w:t>
            </w:r>
          </w:p>
          <w:p>
            <w:pPr>
              <w:widowControl/>
              <w:ind w:firstLine="420" w:firstLineChars="200"/>
              <w:jc w:val="left"/>
              <w:rPr>
                <w:rFonts w:ascii="仿宋" w:hAnsi="仿宋" w:eastAsia="仿宋" w:cs="仿宋"/>
                <w:bCs/>
                <w:kern w:val="0"/>
              </w:rPr>
            </w:pPr>
            <w:r>
              <w:rPr>
                <w:rFonts w:hint="eastAsia" w:ascii="仿宋" w:hAnsi="仿宋" w:eastAsia="仿宋" w:cs="仿宋"/>
                <w:bCs/>
                <w:kern w:val="0"/>
              </w:rPr>
              <w:t>2、对客户的上述内容和相关证明资料已经进行了真实性、完整性和准确性审核，并通过有效途径进行了检查，未发现异常情况。</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经办人： </w:t>
            </w:r>
            <w:r>
              <w:rPr>
                <w:rFonts w:ascii="仿宋" w:hAnsi="仿宋" w:eastAsia="仿宋" w:cs="仿宋"/>
                <w:bCs/>
                <w:kern w:val="0"/>
              </w:rPr>
              <w:t xml:space="preserve">              日期</w:t>
            </w:r>
            <w:r>
              <w:rPr>
                <w:rFonts w:hint="eastAsia" w:ascii="仿宋" w:hAnsi="仿宋" w:eastAsia="仿宋" w:cs="仿宋"/>
                <w:bCs/>
                <w:kern w:val="0"/>
              </w:rPr>
              <w:t>：</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复核人： </w:t>
            </w:r>
            <w:r>
              <w:rPr>
                <w:rFonts w:ascii="仿宋" w:hAnsi="仿宋" w:eastAsia="仿宋" w:cs="仿宋"/>
                <w:bCs/>
                <w:kern w:val="0"/>
              </w:rPr>
              <w:t xml:space="preserve">              日期</w:t>
            </w:r>
            <w:r>
              <w:rPr>
                <w:rFonts w:hint="eastAsia" w:ascii="仿宋" w:hAnsi="仿宋" w:eastAsia="仿宋" w:cs="仿宋"/>
                <w:bCs/>
                <w:kern w:val="0"/>
              </w:rPr>
              <w:t>：</w:t>
            </w:r>
          </w:p>
          <w:p>
            <w:pPr>
              <w:widowControl/>
              <w:spacing w:line="360" w:lineRule="auto"/>
              <w:jc w:val="left"/>
              <w:rPr>
                <w:rFonts w:ascii="仿宋" w:hAnsi="仿宋" w:eastAsia="仿宋" w:cs="仿宋"/>
                <w:color w:val="000000"/>
                <w:kern w:val="0"/>
                <w:lang w:bidi="ar"/>
              </w:rPr>
            </w:pPr>
            <w:r>
              <w:rPr>
                <w:rFonts w:hint="eastAsia" w:ascii="仿宋" w:hAnsi="仿宋" w:eastAsia="仿宋" w:cs="仿宋"/>
                <w:bCs/>
                <w:kern w:val="0"/>
              </w:rPr>
              <w:t xml:space="preserve"> </w:t>
            </w:r>
            <w:r>
              <w:rPr>
                <w:rFonts w:ascii="仿宋" w:hAnsi="仿宋" w:eastAsia="仿宋" w:cs="仿宋"/>
                <w:bCs/>
                <w:kern w:val="0"/>
              </w:rPr>
              <w:t xml:space="preserve">                                                   业务部门负责人</w:t>
            </w:r>
            <w:r>
              <w:rPr>
                <w:rFonts w:hint="eastAsia" w:ascii="仿宋" w:hAnsi="仿宋" w:eastAsia="仿宋" w:cs="仿宋"/>
                <w:bCs/>
                <w:kern w:val="0"/>
              </w:rPr>
              <w:t xml:space="preserve">： </w:t>
            </w:r>
            <w:r>
              <w:rPr>
                <w:rFonts w:ascii="仿宋" w:hAnsi="仿宋" w:eastAsia="仿宋" w:cs="仿宋"/>
                <w:bCs/>
                <w:kern w:val="0"/>
              </w:rPr>
              <w:t xml:space="preserve">      日期</w:t>
            </w:r>
            <w:r>
              <w:rPr>
                <w:rFonts w:hint="eastAsia" w:ascii="仿宋" w:hAnsi="仿宋" w:eastAsia="仿宋" w:cs="仿宋"/>
                <w:bCs/>
                <w:kern w:val="0"/>
              </w:rPr>
              <w:t>：</w:t>
            </w:r>
          </w:p>
        </w:tc>
      </w:tr>
    </w:tbl>
    <w:p>
      <w:pPr>
        <w:widowControl/>
        <w:spacing w:line="400" w:lineRule="exact"/>
        <w:ind w:firstLine="420" w:firstLineChars="200"/>
        <w:rPr>
          <w:rFonts w:ascii="仿宋" w:hAnsi="仿宋" w:eastAsia="仿宋" w:cs="仿宋"/>
          <w:color w:val="000000"/>
          <w:kern w:val="0"/>
        </w:rPr>
      </w:pPr>
      <w:r>
        <w:rPr>
          <w:rFonts w:hint="eastAsia" w:ascii="仿宋" w:hAnsi="仿宋" w:eastAsia="仿宋" w:cs="仿宋"/>
          <w:color w:val="000000"/>
          <w:kern w:val="0"/>
        </w:rPr>
        <w:t>注：上海期货交易所简称为“上期所”，郑州商品交易所简称为“郑商所”，大连商品交易所简称为“大商所”，中国金融期货交易所简称为“中金所”，上海国际能源交易中心简称为“能源中心”，广州期货交易所简称为“广期所”。</w:t>
      </w:r>
    </w:p>
    <w:p>
      <w:pPr>
        <w:rPr>
          <w:rFonts w:hint="eastAsia" w:ascii="仿宋" w:hAnsi="仿宋" w:eastAsia="仿宋" w:cs="仿宋"/>
          <w:color w:val="000000"/>
          <w:kern w:val="0"/>
        </w:rPr>
      </w:pPr>
      <w:bookmarkStart w:id="0" w:name="_GoBack"/>
      <w:bookmarkEnd w:id="0"/>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hNmYwMTlhYTU3MDY1MjZkZTgxMzAzYzcxYmRhNzgifQ=="/>
  </w:docVars>
  <w:rsids>
    <w:rsidRoot w:val="5DD07BE8"/>
    <w:rsid w:val="00041416"/>
    <w:rsid w:val="000D1F7A"/>
    <w:rsid w:val="00101C39"/>
    <w:rsid w:val="001A4A6E"/>
    <w:rsid w:val="002F0246"/>
    <w:rsid w:val="00353052"/>
    <w:rsid w:val="00360334"/>
    <w:rsid w:val="00401449"/>
    <w:rsid w:val="00415472"/>
    <w:rsid w:val="00447042"/>
    <w:rsid w:val="00523471"/>
    <w:rsid w:val="0057648D"/>
    <w:rsid w:val="005810F8"/>
    <w:rsid w:val="006343FA"/>
    <w:rsid w:val="0068303D"/>
    <w:rsid w:val="007D0458"/>
    <w:rsid w:val="008F1626"/>
    <w:rsid w:val="009A6D65"/>
    <w:rsid w:val="00B00B58"/>
    <w:rsid w:val="00B43DBE"/>
    <w:rsid w:val="00B84D4D"/>
    <w:rsid w:val="00B903F6"/>
    <w:rsid w:val="00BB3164"/>
    <w:rsid w:val="00BD1335"/>
    <w:rsid w:val="00C97FF6"/>
    <w:rsid w:val="00D37809"/>
    <w:rsid w:val="00D527B5"/>
    <w:rsid w:val="00DE6A61"/>
    <w:rsid w:val="00E04353"/>
    <w:rsid w:val="00E04504"/>
    <w:rsid w:val="00E27573"/>
    <w:rsid w:val="00E30CC0"/>
    <w:rsid w:val="00E466EA"/>
    <w:rsid w:val="00E63986"/>
    <w:rsid w:val="00ED1E3D"/>
    <w:rsid w:val="00F37B19"/>
    <w:rsid w:val="01E925F2"/>
    <w:rsid w:val="04EC3813"/>
    <w:rsid w:val="071D6531"/>
    <w:rsid w:val="09A514F4"/>
    <w:rsid w:val="0A2B44A7"/>
    <w:rsid w:val="0AA16CE1"/>
    <w:rsid w:val="0B2B77D7"/>
    <w:rsid w:val="0C4E190E"/>
    <w:rsid w:val="15030317"/>
    <w:rsid w:val="196663F0"/>
    <w:rsid w:val="1D022682"/>
    <w:rsid w:val="1D924CED"/>
    <w:rsid w:val="1DF71605"/>
    <w:rsid w:val="1FAD3F88"/>
    <w:rsid w:val="204D5FEA"/>
    <w:rsid w:val="2BCD6B9A"/>
    <w:rsid w:val="2E92623F"/>
    <w:rsid w:val="352A03F5"/>
    <w:rsid w:val="37D77E76"/>
    <w:rsid w:val="381374E4"/>
    <w:rsid w:val="3A4122B5"/>
    <w:rsid w:val="3AE96BE3"/>
    <w:rsid w:val="3C5846CF"/>
    <w:rsid w:val="3C5D5F08"/>
    <w:rsid w:val="3D954C7E"/>
    <w:rsid w:val="40306AF9"/>
    <w:rsid w:val="41E93D97"/>
    <w:rsid w:val="43660C57"/>
    <w:rsid w:val="451231DA"/>
    <w:rsid w:val="4E102281"/>
    <w:rsid w:val="4EEB2DEC"/>
    <w:rsid w:val="4F6A2D4E"/>
    <w:rsid w:val="52A00522"/>
    <w:rsid w:val="5808735C"/>
    <w:rsid w:val="5909723C"/>
    <w:rsid w:val="5A803664"/>
    <w:rsid w:val="5B1A613E"/>
    <w:rsid w:val="5C2556E7"/>
    <w:rsid w:val="5C6F0602"/>
    <w:rsid w:val="5C976AB3"/>
    <w:rsid w:val="5DD07BE8"/>
    <w:rsid w:val="5E4D034C"/>
    <w:rsid w:val="652A1A23"/>
    <w:rsid w:val="67E265E5"/>
    <w:rsid w:val="6A297041"/>
    <w:rsid w:val="711F52AF"/>
    <w:rsid w:val="71992CDE"/>
    <w:rsid w:val="73A871C3"/>
    <w:rsid w:val="74676729"/>
    <w:rsid w:val="768B603C"/>
    <w:rsid w:val="78BB6D94"/>
    <w:rsid w:val="799E5DAA"/>
    <w:rsid w:val="7F156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1"/>
    <w:rPr>
      <w:sz w:val="18"/>
      <w:szCs w:val="18"/>
    </w:r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qFormat/>
    <w:uiPriority w:val="1"/>
    <w:pPr>
      <w:spacing w:before="112"/>
      <w:ind w:left="1967" w:right="1982"/>
      <w:jc w:val="center"/>
    </w:pPr>
    <w:rPr>
      <w:b/>
      <w:bCs/>
      <w:sz w:val="32"/>
      <w:szCs w:val="32"/>
    </w:rPr>
  </w:style>
  <w:style w:type="paragraph" w:styleId="8">
    <w:name w:val="annotation subject"/>
    <w:basedOn w:val="2"/>
    <w:next w:val="2"/>
    <w:link w:val="17"/>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character" w:customStyle="1" w:styleId="13">
    <w:name w:val="页眉 Char"/>
    <w:basedOn w:val="11"/>
    <w:link w:val="6"/>
    <w:qFormat/>
    <w:uiPriority w:val="0"/>
    <w:rPr>
      <w:kern w:val="2"/>
      <w:sz w:val="18"/>
      <w:szCs w:val="18"/>
    </w:rPr>
  </w:style>
  <w:style w:type="character" w:customStyle="1" w:styleId="14">
    <w:name w:val="页脚 Char"/>
    <w:basedOn w:val="11"/>
    <w:link w:val="5"/>
    <w:qFormat/>
    <w:uiPriority w:val="0"/>
    <w:rPr>
      <w:kern w:val="2"/>
      <w:sz w:val="18"/>
      <w:szCs w:val="18"/>
    </w:rPr>
  </w:style>
  <w:style w:type="character" w:customStyle="1" w:styleId="15">
    <w:name w:val="批注框文本 Char"/>
    <w:basedOn w:val="11"/>
    <w:link w:val="4"/>
    <w:qFormat/>
    <w:uiPriority w:val="0"/>
    <w:rPr>
      <w:kern w:val="2"/>
      <w:sz w:val="18"/>
      <w:szCs w:val="18"/>
    </w:rPr>
  </w:style>
  <w:style w:type="character" w:customStyle="1" w:styleId="16">
    <w:name w:val="批注文字 Char"/>
    <w:basedOn w:val="11"/>
    <w:link w:val="2"/>
    <w:qFormat/>
    <w:uiPriority w:val="0"/>
    <w:rPr>
      <w:kern w:val="2"/>
      <w:sz w:val="21"/>
      <w:szCs w:val="21"/>
    </w:rPr>
  </w:style>
  <w:style w:type="character" w:customStyle="1" w:styleId="17">
    <w:name w:val="批注主题 Char"/>
    <w:basedOn w:val="16"/>
    <w:link w:val="8"/>
    <w:qFormat/>
    <w:uiPriority w:val="0"/>
    <w:rPr>
      <w:b/>
      <w:bCs/>
      <w:kern w:val="2"/>
      <w:sz w:val="21"/>
      <w:szCs w:val="21"/>
    </w:rPr>
  </w:style>
  <w:style w:type="paragraph" w:customStyle="1" w:styleId="1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9</Pages>
  <Words>1063</Words>
  <Characters>6062</Characters>
  <Lines>50</Lines>
  <Paragraphs>14</Paragraphs>
  <TotalTime>0</TotalTime>
  <ScaleCrop>false</ScaleCrop>
  <LinksUpToDate>false</LinksUpToDate>
  <CharactersWithSpaces>7111</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2022-10-14T03:45:00Z</dcterms:created>
  <dc:creator>张滢</dc:creator>
  <cp:lastModifiedBy>J Yang</cp:lastModifiedBy>
  <dcterms:modified xsi:type="dcterms:W3CDTF">2023-09-14T11:20:05Z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8BA13464989548718C49D19EDB20BC25</vt:lpwstr>
  </property>
</Properties>
</file>